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1FBB" w14:textId="0BDAACDE" w:rsidR="00E14F96" w:rsidRDefault="00E5223F" w:rsidP="00E14F96">
      <w:pPr>
        <w:pStyle w:val="Paragraphedeliste"/>
        <w:ind w:left="-567"/>
        <w:rPr>
          <w:rFonts w:eastAsia="Times New Roman"/>
        </w:rPr>
      </w:pPr>
      <w:r>
        <w:rPr>
          <w:rFonts w:eastAsia="Times New Roman"/>
        </w:rPr>
        <w:fldChar w:fldCharType="begin"/>
      </w:r>
      <w:r>
        <w:rPr>
          <w:rFonts w:eastAsia="Times New Roman"/>
        </w:rPr>
        <w:instrText xml:space="preserve"> INCLUDEPICTURE  "cid:D2942ED9-3D56-4F27-89FB-208E9E660566" \* MERGEFORMATINET </w:instrText>
      </w:r>
      <w:r>
        <w:rPr>
          <w:rFonts w:eastAsia="Times New Roman"/>
        </w:rPr>
        <w:fldChar w:fldCharType="separate"/>
      </w:r>
      <w:r w:rsidR="00392B59">
        <w:rPr>
          <w:rFonts w:eastAsia="Times New Roman"/>
        </w:rPr>
        <w:fldChar w:fldCharType="begin"/>
      </w:r>
      <w:r w:rsidR="00392B59">
        <w:rPr>
          <w:rFonts w:eastAsia="Times New Roman"/>
        </w:rPr>
        <w:instrText xml:space="preserve"> INCLUDEPICTURE  "cid:D2942ED9-3D56-4F27-89FB-208E9E660566" \* MERGEFORMATINET </w:instrText>
      </w:r>
      <w:r w:rsidR="00392B59">
        <w:rPr>
          <w:rFonts w:eastAsia="Times New Roman"/>
        </w:rPr>
        <w:fldChar w:fldCharType="separate"/>
      </w:r>
      <w:r w:rsidR="006B24BA">
        <w:rPr>
          <w:rFonts w:eastAsia="Times New Roman"/>
        </w:rPr>
        <w:fldChar w:fldCharType="begin"/>
      </w:r>
      <w:r w:rsidR="006B24BA">
        <w:rPr>
          <w:rFonts w:eastAsia="Times New Roman"/>
        </w:rPr>
        <w:instrText xml:space="preserve"> INCLUDEPICTURE  "cid:D2942ED9-3D56-4F27-89FB-208E9E660566" \* MERGEFORMATINET </w:instrText>
      </w:r>
      <w:r w:rsidR="006B24BA">
        <w:rPr>
          <w:rFonts w:eastAsia="Times New Roman"/>
        </w:rPr>
        <w:fldChar w:fldCharType="separate"/>
      </w:r>
      <w:r w:rsidR="00494144">
        <w:rPr>
          <w:rFonts w:eastAsia="Times New Roman"/>
        </w:rPr>
        <w:fldChar w:fldCharType="begin"/>
      </w:r>
      <w:r w:rsidR="00494144">
        <w:rPr>
          <w:rFonts w:eastAsia="Times New Roman"/>
        </w:rPr>
        <w:instrText xml:space="preserve"> INCLUDEPICTURE  "cid:D2942ED9-3D56-4F27-89FB-208E9E660566" \* MERGEFORMATINET </w:instrText>
      </w:r>
      <w:r w:rsidR="00494144">
        <w:rPr>
          <w:rFonts w:eastAsia="Times New Roman"/>
        </w:rPr>
        <w:fldChar w:fldCharType="separate"/>
      </w:r>
      <w:r w:rsidR="00DE1C3D">
        <w:rPr>
          <w:rFonts w:eastAsia="Times New Roman"/>
        </w:rPr>
        <w:fldChar w:fldCharType="begin"/>
      </w:r>
      <w:r w:rsidR="00DE1C3D">
        <w:rPr>
          <w:rFonts w:eastAsia="Times New Roman"/>
        </w:rPr>
        <w:instrText xml:space="preserve"> INCLUDEPICTURE  "cid:D2942ED9-3D56-4F27-89FB-208E9E660566" \* MERGEFORMATINET </w:instrText>
      </w:r>
      <w:r w:rsidR="00DE1C3D">
        <w:rPr>
          <w:rFonts w:eastAsia="Times New Roman"/>
        </w:rPr>
        <w:fldChar w:fldCharType="separate"/>
      </w:r>
      <w:r w:rsidR="00593B53">
        <w:rPr>
          <w:rFonts w:eastAsia="Times New Roman"/>
        </w:rPr>
        <w:fldChar w:fldCharType="begin"/>
      </w:r>
      <w:r w:rsidR="00593B53">
        <w:rPr>
          <w:rFonts w:eastAsia="Times New Roman"/>
        </w:rPr>
        <w:instrText xml:space="preserve"> INCLUDEPICTURE  "cid:D2942ED9-3D56-4F27-89FB-208E9E660566" \* MERGEFORMATINET </w:instrText>
      </w:r>
      <w:r w:rsidR="00593B53">
        <w:rPr>
          <w:rFonts w:eastAsia="Times New Roman"/>
        </w:rPr>
        <w:fldChar w:fldCharType="separate"/>
      </w:r>
      <w:r w:rsidR="00593B53">
        <w:rPr>
          <w:rFonts w:eastAsia="Times New Roman"/>
        </w:rPr>
        <w:fldChar w:fldCharType="begin"/>
      </w:r>
      <w:r w:rsidR="00593B53">
        <w:rPr>
          <w:rFonts w:eastAsia="Times New Roman"/>
        </w:rPr>
        <w:instrText xml:space="preserve"> INCLUDEPICTURE  "cid:D2942ED9-3D56-4F27-89FB-208E9E660566" \* MERGEFORMATINET </w:instrText>
      </w:r>
      <w:r w:rsidR="00593B53">
        <w:rPr>
          <w:rFonts w:eastAsia="Times New Roman"/>
        </w:rPr>
        <w:fldChar w:fldCharType="separate"/>
      </w:r>
      <w:r w:rsidR="00A01EA9">
        <w:rPr>
          <w:rFonts w:eastAsia="Times New Roman"/>
        </w:rPr>
        <w:fldChar w:fldCharType="begin"/>
      </w:r>
      <w:r w:rsidR="00A01EA9">
        <w:rPr>
          <w:rFonts w:eastAsia="Times New Roman"/>
        </w:rPr>
        <w:instrText xml:space="preserve"> </w:instrText>
      </w:r>
      <w:r w:rsidR="00A01EA9">
        <w:rPr>
          <w:rFonts w:eastAsia="Times New Roman"/>
        </w:rPr>
        <w:instrText>INCLUDEPICTURE  "cid:D2942ED9-3D56-4F27-89FB-208E9E660566" \* MERGEFORMATINET</w:instrText>
      </w:r>
      <w:r w:rsidR="00A01EA9">
        <w:rPr>
          <w:rFonts w:eastAsia="Times New Roman"/>
        </w:rPr>
        <w:instrText xml:space="preserve"> </w:instrText>
      </w:r>
      <w:r w:rsidR="00A01EA9">
        <w:rPr>
          <w:rFonts w:eastAsia="Times New Roman"/>
        </w:rPr>
        <w:fldChar w:fldCharType="separate"/>
      </w:r>
      <w:r w:rsidR="00E42AFC">
        <w:rPr>
          <w:rFonts w:eastAsia="Times New Roman"/>
        </w:rPr>
        <w:pict w14:anchorId="73F0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EDCD09E-64BA-41F0-B9B8-B5F0CD88D8B6" o:spid="_x0000_i1025" type="#_x0000_t75" style="width:180.75pt;height:46.5pt">
            <v:imagedata r:id="rId8" r:href="rId9"/>
          </v:shape>
        </w:pict>
      </w:r>
      <w:r w:rsidR="00A01EA9">
        <w:rPr>
          <w:rFonts w:eastAsia="Times New Roman"/>
        </w:rPr>
        <w:fldChar w:fldCharType="end"/>
      </w:r>
      <w:r w:rsidR="00593B53">
        <w:rPr>
          <w:rFonts w:eastAsia="Times New Roman"/>
        </w:rPr>
        <w:fldChar w:fldCharType="end"/>
      </w:r>
      <w:r w:rsidR="00593B53">
        <w:rPr>
          <w:rFonts w:eastAsia="Times New Roman"/>
        </w:rPr>
        <w:fldChar w:fldCharType="end"/>
      </w:r>
      <w:r w:rsidR="00DE1C3D">
        <w:rPr>
          <w:rFonts w:eastAsia="Times New Roman"/>
        </w:rPr>
        <w:fldChar w:fldCharType="end"/>
      </w:r>
      <w:r w:rsidR="00494144">
        <w:rPr>
          <w:rFonts w:eastAsia="Times New Roman"/>
        </w:rPr>
        <w:fldChar w:fldCharType="end"/>
      </w:r>
      <w:r w:rsidR="006B24BA">
        <w:rPr>
          <w:rFonts w:eastAsia="Times New Roman"/>
        </w:rPr>
        <w:fldChar w:fldCharType="end"/>
      </w:r>
      <w:r w:rsidR="00392B59">
        <w:rPr>
          <w:rFonts w:eastAsia="Times New Roman"/>
        </w:rPr>
        <w:fldChar w:fldCharType="end"/>
      </w:r>
      <w:r>
        <w:rPr>
          <w:rFonts w:eastAsia="Times New Roman"/>
        </w:rPr>
        <w:fldChar w:fldCharType="end"/>
      </w:r>
    </w:p>
    <w:p w14:paraId="5F26722D" w14:textId="77777777" w:rsidR="00E5223F" w:rsidRDefault="00E5223F" w:rsidP="00E14F96">
      <w:pPr>
        <w:pStyle w:val="Paragraphedeliste"/>
        <w:ind w:left="-567"/>
        <w:rPr>
          <w:b/>
          <w:sz w:val="28"/>
        </w:rPr>
      </w:pPr>
    </w:p>
    <w:p w14:paraId="3D22143D" w14:textId="77777777" w:rsidR="00126F73" w:rsidRPr="00126F73" w:rsidRDefault="00126F73" w:rsidP="00126F73">
      <w:pPr>
        <w:pStyle w:val="Paragraphedeliste"/>
        <w:ind w:left="0"/>
        <w:jc w:val="center"/>
        <w:rPr>
          <w:b/>
          <w:sz w:val="28"/>
        </w:rPr>
      </w:pPr>
      <w:r w:rsidRPr="00126F73">
        <w:rPr>
          <w:b/>
          <w:sz w:val="28"/>
        </w:rPr>
        <w:t>COMMUNE DE FARGUES SAINT-HILAIRE</w:t>
      </w:r>
    </w:p>
    <w:p w14:paraId="5F6F30B0" w14:textId="77777777" w:rsidR="00126F73" w:rsidRDefault="00126F73" w:rsidP="00126F73">
      <w:pPr>
        <w:pStyle w:val="Paragraphedeliste"/>
        <w:ind w:left="0"/>
        <w:jc w:val="center"/>
      </w:pPr>
    </w:p>
    <w:p w14:paraId="47ABC98C" w14:textId="77777777" w:rsidR="00126F73" w:rsidRDefault="00126F73" w:rsidP="00126F73">
      <w:pPr>
        <w:pStyle w:val="Paragraphedeliste"/>
        <w:ind w:left="0"/>
        <w:jc w:val="center"/>
      </w:pPr>
    </w:p>
    <w:p w14:paraId="245FD222" w14:textId="77777777" w:rsidR="004A603C" w:rsidRDefault="00126F73" w:rsidP="00126F73">
      <w:pPr>
        <w:pStyle w:val="Paragraphedeliste"/>
        <w:ind w:left="0"/>
        <w:jc w:val="center"/>
        <w:rPr>
          <w:b/>
          <w:sz w:val="24"/>
        </w:rPr>
      </w:pPr>
      <w:r w:rsidRPr="00126F73">
        <w:rPr>
          <w:b/>
          <w:sz w:val="24"/>
        </w:rPr>
        <w:t>NOTE DE PR</w:t>
      </w:r>
      <w:r w:rsidR="004A603C">
        <w:rPr>
          <w:b/>
          <w:sz w:val="24"/>
        </w:rPr>
        <w:t>ESENTATION BREVE ET SYNTHETIQUE</w:t>
      </w:r>
    </w:p>
    <w:p w14:paraId="0B0D26C4" w14:textId="47D9F6C4" w:rsidR="00126F73" w:rsidRDefault="00126F73" w:rsidP="00126F73">
      <w:pPr>
        <w:pStyle w:val="Paragraphedeliste"/>
        <w:ind w:left="0"/>
        <w:jc w:val="center"/>
        <w:rPr>
          <w:b/>
          <w:sz w:val="24"/>
        </w:rPr>
      </w:pPr>
      <w:r w:rsidRPr="00126F73">
        <w:rPr>
          <w:b/>
          <w:sz w:val="24"/>
        </w:rPr>
        <w:t xml:space="preserve">DU </w:t>
      </w:r>
      <w:r w:rsidR="001E079C">
        <w:rPr>
          <w:b/>
          <w:sz w:val="24"/>
        </w:rPr>
        <w:t>COMPTE ADMINISTRATIF 20</w:t>
      </w:r>
      <w:r w:rsidR="00E5223F">
        <w:rPr>
          <w:b/>
          <w:sz w:val="24"/>
        </w:rPr>
        <w:t>2</w:t>
      </w:r>
      <w:r w:rsidR="007A7265">
        <w:rPr>
          <w:b/>
          <w:sz w:val="24"/>
        </w:rPr>
        <w:t>2</w:t>
      </w:r>
    </w:p>
    <w:p w14:paraId="06752341" w14:textId="264892B4" w:rsidR="00DC1450" w:rsidRPr="00126F73" w:rsidRDefault="00DC1450" w:rsidP="00126F73">
      <w:pPr>
        <w:pStyle w:val="Paragraphedeliste"/>
        <w:ind w:left="0"/>
        <w:jc w:val="center"/>
        <w:rPr>
          <w:b/>
          <w:sz w:val="24"/>
        </w:rPr>
      </w:pPr>
      <w:r>
        <w:rPr>
          <w:b/>
          <w:sz w:val="24"/>
        </w:rPr>
        <w:t>DU BUDGET PRINCIPAL COMMAL (M14)</w:t>
      </w:r>
    </w:p>
    <w:p w14:paraId="1294DA77" w14:textId="77777777" w:rsidR="00126F73" w:rsidRDefault="00126F73" w:rsidP="00126F73">
      <w:pPr>
        <w:pStyle w:val="Paragraphedeliste"/>
        <w:ind w:left="0"/>
        <w:jc w:val="center"/>
      </w:pPr>
    </w:p>
    <w:p w14:paraId="738DAF9D" w14:textId="77777777" w:rsidR="00126F73" w:rsidRDefault="00126F73" w:rsidP="00DC1450">
      <w:pPr>
        <w:pStyle w:val="Paragraphedeliste"/>
        <w:ind w:left="0"/>
      </w:pPr>
    </w:p>
    <w:p w14:paraId="1D971692" w14:textId="77777777" w:rsidR="00126F73" w:rsidRDefault="00126F73" w:rsidP="00126F73">
      <w:pPr>
        <w:pStyle w:val="Paragraphedeliste"/>
        <w:ind w:left="0"/>
        <w:jc w:val="center"/>
      </w:pPr>
    </w:p>
    <w:p w14:paraId="48498E52" w14:textId="77777777" w:rsidR="00BD2B82" w:rsidRDefault="00BD2B82" w:rsidP="00126F73">
      <w:pPr>
        <w:pStyle w:val="Paragraphedeliste"/>
        <w:ind w:left="0"/>
        <w:jc w:val="center"/>
      </w:pPr>
    </w:p>
    <w:p w14:paraId="48E5AADE" w14:textId="77777777" w:rsidR="005E0349" w:rsidRPr="00432D62" w:rsidRDefault="005E0349" w:rsidP="00610E29">
      <w:pPr>
        <w:pStyle w:val="Paragraphedeliste"/>
        <w:numPr>
          <w:ilvl w:val="0"/>
          <w:numId w:val="1"/>
        </w:numPr>
        <w:jc w:val="both"/>
        <w:rPr>
          <w:rStyle w:val="Accentuation"/>
          <w:b/>
          <w:i w:val="0"/>
          <w:sz w:val="28"/>
          <w:szCs w:val="28"/>
        </w:rPr>
      </w:pPr>
      <w:r w:rsidRPr="00432D62">
        <w:rPr>
          <w:rStyle w:val="Accentuation"/>
          <w:b/>
          <w:i w:val="0"/>
          <w:sz w:val="28"/>
          <w:szCs w:val="28"/>
        </w:rPr>
        <w:t xml:space="preserve">Le cadre général du </w:t>
      </w:r>
      <w:r w:rsidR="00925761" w:rsidRPr="00432D62">
        <w:rPr>
          <w:rStyle w:val="Accentuation"/>
          <w:b/>
          <w:i w:val="0"/>
          <w:sz w:val="28"/>
          <w:szCs w:val="28"/>
        </w:rPr>
        <w:t>compte administratif</w:t>
      </w:r>
    </w:p>
    <w:p w14:paraId="2DD8E0A4" w14:textId="77777777" w:rsidR="005E0349" w:rsidRPr="00126F73" w:rsidRDefault="005E0349" w:rsidP="00610E29">
      <w:pPr>
        <w:jc w:val="both"/>
        <w:rPr>
          <w:rStyle w:val="Accentuation"/>
          <w:i w:val="0"/>
        </w:rPr>
      </w:pPr>
      <w:r w:rsidRPr="00126F73">
        <w:rPr>
          <w:rStyle w:val="Accentuation"/>
          <w:i w:val="0"/>
        </w:rPr>
        <w:t xml:space="preserve">L’article L2313-1 du code général des collectivités territoriales prévoit qu’une présentation brève et synthétique retraçant les informations financières essentielles </w:t>
      </w:r>
      <w:r w:rsidR="00F57F72">
        <w:rPr>
          <w:rStyle w:val="Accentuation"/>
          <w:i w:val="0"/>
        </w:rPr>
        <w:t>soit</w:t>
      </w:r>
      <w:r w:rsidRPr="00126F73">
        <w:rPr>
          <w:rStyle w:val="Accentuation"/>
          <w:i w:val="0"/>
        </w:rPr>
        <w:t xml:space="preserve"> jointe au </w:t>
      </w:r>
      <w:r w:rsidR="00925761">
        <w:rPr>
          <w:rStyle w:val="Accentuation"/>
          <w:i w:val="0"/>
        </w:rPr>
        <w:t>compte administratif</w:t>
      </w:r>
      <w:r w:rsidRPr="00126F73">
        <w:rPr>
          <w:rStyle w:val="Accentuation"/>
          <w:i w:val="0"/>
        </w:rPr>
        <w:t xml:space="preserve"> afin de permettre aux citoyens d’en saisir les enjeux.</w:t>
      </w:r>
    </w:p>
    <w:p w14:paraId="742EACD2" w14:textId="45134ECD" w:rsidR="005E0349" w:rsidRPr="00126F73" w:rsidRDefault="005E0349" w:rsidP="00610E29">
      <w:pPr>
        <w:jc w:val="both"/>
        <w:rPr>
          <w:rStyle w:val="Accentuation"/>
          <w:i w:val="0"/>
        </w:rPr>
      </w:pPr>
      <w:r w:rsidRPr="00126F73">
        <w:rPr>
          <w:rStyle w:val="Accentuation"/>
          <w:i w:val="0"/>
        </w:rPr>
        <w:t>La présente note répond à cette obligation pour la commune </w:t>
      </w:r>
      <w:r w:rsidR="00925761">
        <w:rPr>
          <w:rStyle w:val="Accentuation"/>
          <w:i w:val="0"/>
        </w:rPr>
        <w:t xml:space="preserve">de Fargues Saint-Hilaire </w:t>
      </w:r>
      <w:r w:rsidRPr="00126F73">
        <w:rPr>
          <w:rStyle w:val="Accentuation"/>
          <w:i w:val="0"/>
        </w:rPr>
        <w:t xml:space="preserve">; elle </w:t>
      </w:r>
      <w:r w:rsidR="00432D62">
        <w:rPr>
          <w:rStyle w:val="Accentuation"/>
          <w:i w:val="0"/>
        </w:rPr>
        <w:t>sera</w:t>
      </w:r>
      <w:r w:rsidRPr="00126F73">
        <w:rPr>
          <w:rStyle w:val="Accentuation"/>
          <w:i w:val="0"/>
        </w:rPr>
        <w:t xml:space="preserve"> disponible sur le site internet de la commune.</w:t>
      </w:r>
    </w:p>
    <w:p w14:paraId="3DA8EBCD" w14:textId="30191B55" w:rsidR="00E14F96" w:rsidRDefault="005E0349" w:rsidP="003D77B8">
      <w:pPr>
        <w:jc w:val="both"/>
        <w:rPr>
          <w:rStyle w:val="Accentuation"/>
          <w:i w:val="0"/>
        </w:rPr>
      </w:pPr>
      <w:r w:rsidRPr="00126F73">
        <w:rPr>
          <w:rStyle w:val="Accentuation"/>
          <w:i w:val="0"/>
        </w:rPr>
        <w:t xml:space="preserve">Le </w:t>
      </w:r>
      <w:r w:rsidR="00FF07B3">
        <w:rPr>
          <w:rStyle w:val="Accentuation"/>
          <w:i w:val="0"/>
        </w:rPr>
        <w:t>compte administratif 20</w:t>
      </w:r>
      <w:r w:rsidR="00E5223F">
        <w:rPr>
          <w:rStyle w:val="Accentuation"/>
          <w:i w:val="0"/>
        </w:rPr>
        <w:t>2</w:t>
      </w:r>
      <w:r w:rsidR="007A7265">
        <w:rPr>
          <w:rStyle w:val="Accentuation"/>
          <w:i w:val="0"/>
        </w:rPr>
        <w:t>2</w:t>
      </w:r>
      <w:r w:rsidRPr="00126F73">
        <w:rPr>
          <w:rStyle w:val="Accentuation"/>
          <w:i w:val="0"/>
        </w:rPr>
        <w:t xml:space="preserve"> </w:t>
      </w:r>
      <w:r w:rsidR="00432D62">
        <w:rPr>
          <w:rStyle w:val="Accentuation"/>
          <w:i w:val="0"/>
        </w:rPr>
        <w:t>est présentée au Conseil Municipal</w:t>
      </w:r>
      <w:r w:rsidR="00925761">
        <w:rPr>
          <w:rStyle w:val="Accentuation"/>
          <w:i w:val="0"/>
        </w:rPr>
        <w:t xml:space="preserve"> </w:t>
      </w:r>
      <w:r w:rsidR="00432D62">
        <w:rPr>
          <w:rStyle w:val="Accentuation"/>
          <w:i w:val="0"/>
        </w:rPr>
        <w:t>du</w:t>
      </w:r>
      <w:r w:rsidR="00925761">
        <w:rPr>
          <w:rStyle w:val="Accentuation"/>
          <w:i w:val="0"/>
        </w:rPr>
        <w:t xml:space="preserve"> </w:t>
      </w:r>
      <w:r w:rsidR="00150170">
        <w:rPr>
          <w:rStyle w:val="Accentuation"/>
          <w:i w:val="0"/>
        </w:rPr>
        <w:t>2</w:t>
      </w:r>
      <w:r w:rsidR="007A7265">
        <w:rPr>
          <w:rStyle w:val="Accentuation"/>
          <w:i w:val="0"/>
        </w:rPr>
        <w:t>0</w:t>
      </w:r>
      <w:r w:rsidR="00FF07B3">
        <w:rPr>
          <w:rStyle w:val="Accentuation"/>
          <w:i w:val="0"/>
        </w:rPr>
        <w:t xml:space="preserve"> mars 202</w:t>
      </w:r>
      <w:r w:rsidR="007A7265">
        <w:rPr>
          <w:rStyle w:val="Accentuation"/>
          <w:i w:val="0"/>
        </w:rPr>
        <w:t>3</w:t>
      </w:r>
      <w:r w:rsidR="003D77B8">
        <w:rPr>
          <w:rStyle w:val="Accentuation"/>
          <w:i w:val="0"/>
        </w:rPr>
        <w:t>.</w:t>
      </w:r>
      <w:r w:rsidRPr="00126F73">
        <w:rPr>
          <w:rStyle w:val="Accentuation"/>
          <w:i w:val="0"/>
        </w:rPr>
        <w:t xml:space="preserve"> Il </w:t>
      </w:r>
      <w:r w:rsidR="00432D62">
        <w:rPr>
          <w:rStyle w:val="Accentuation"/>
          <w:i w:val="0"/>
        </w:rPr>
        <w:t>pourra</w:t>
      </w:r>
      <w:r w:rsidRPr="00126F73">
        <w:rPr>
          <w:rStyle w:val="Accentuation"/>
          <w:i w:val="0"/>
        </w:rPr>
        <w:t xml:space="preserve"> être consulté sur simple demande au service des finances de la mairie aux heures d’ouverture des bureaux. </w:t>
      </w:r>
    </w:p>
    <w:p w14:paraId="146AE686" w14:textId="77777777" w:rsidR="00BD2B82" w:rsidRPr="003D77B8" w:rsidRDefault="00BD2B82" w:rsidP="003D77B8">
      <w:pPr>
        <w:jc w:val="both"/>
        <w:rPr>
          <w:rStyle w:val="Accentuation"/>
          <w:i w:val="0"/>
        </w:rPr>
      </w:pPr>
    </w:p>
    <w:p w14:paraId="641A6E5B" w14:textId="77777777" w:rsidR="003D77B8" w:rsidRPr="00432D62" w:rsidRDefault="003D77B8" w:rsidP="003D77B8">
      <w:pPr>
        <w:pStyle w:val="Paragraphedeliste"/>
        <w:numPr>
          <w:ilvl w:val="0"/>
          <w:numId w:val="1"/>
        </w:numPr>
        <w:jc w:val="both"/>
        <w:rPr>
          <w:rStyle w:val="Accentuation"/>
          <w:b/>
          <w:i w:val="0"/>
          <w:sz w:val="28"/>
          <w:szCs w:val="28"/>
        </w:rPr>
      </w:pPr>
      <w:r w:rsidRPr="00432D62">
        <w:rPr>
          <w:rStyle w:val="Accentuation"/>
          <w:b/>
          <w:i w:val="0"/>
          <w:sz w:val="28"/>
          <w:szCs w:val="28"/>
        </w:rPr>
        <w:t>Eléments de contexte et priorités du budget</w:t>
      </w:r>
    </w:p>
    <w:p w14:paraId="6508846E" w14:textId="7DF21AB5" w:rsidR="004A603C" w:rsidRDefault="00FF07B3" w:rsidP="004A603C">
      <w:pPr>
        <w:jc w:val="both"/>
      </w:pPr>
      <w:r>
        <w:t>Le Budget Primitif 20</w:t>
      </w:r>
      <w:r w:rsidR="00E5223F">
        <w:t>2</w:t>
      </w:r>
      <w:r w:rsidR="007A7265">
        <w:t>2</w:t>
      </w:r>
      <w:r w:rsidR="004A603C">
        <w:t xml:space="preserve"> de la commune de Fargues Saint-Hilaire a été vot</w:t>
      </w:r>
      <w:r w:rsidR="00203538">
        <w:t xml:space="preserve">é par le conseil municipal le </w:t>
      </w:r>
      <w:r w:rsidR="007A7265">
        <w:t>21</w:t>
      </w:r>
      <w:r>
        <w:t xml:space="preserve"> mars 20</w:t>
      </w:r>
      <w:r w:rsidR="00E5223F">
        <w:t>2</w:t>
      </w:r>
      <w:r w:rsidR="007A7265">
        <w:t>2</w:t>
      </w:r>
      <w:r w:rsidR="004A603C">
        <w:t xml:space="preserve">. Il se caractérise par : </w:t>
      </w:r>
    </w:p>
    <w:p w14:paraId="12CD54F8" w14:textId="77777777" w:rsidR="004A603C" w:rsidRPr="00002102" w:rsidRDefault="004A603C" w:rsidP="004A603C">
      <w:pPr>
        <w:pStyle w:val="Paragraphedeliste"/>
        <w:numPr>
          <w:ilvl w:val="0"/>
          <w:numId w:val="9"/>
        </w:numPr>
        <w:jc w:val="both"/>
        <w:rPr>
          <w:b/>
          <w:bCs/>
        </w:rPr>
      </w:pPr>
      <w:r w:rsidRPr="00002102">
        <w:rPr>
          <w:b/>
          <w:bCs/>
        </w:rPr>
        <w:t>Une maîtrise des dépenses de fonctionnement avec :</w:t>
      </w:r>
    </w:p>
    <w:p w14:paraId="6A415BDF" w14:textId="7142422D" w:rsidR="004A603C" w:rsidRDefault="004A603C" w:rsidP="004A603C">
      <w:pPr>
        <w:jc w:val="both"/>
      </w:pPr>
      <w:r>
        <w:t xml:space="preserve">◦ </w:t>
      </w:r>
      <w:r w:rsidR="00DC1450">
        <w:t>Une augmentation maîtrisée</w:t>
      </w:r>
      <w:r>
        <w:t xml:space="preserve"> de la masse salariale</w:t>
      </w:r>
    </w:p>
    <w:p w14:paraId="686E798A" w14:textId="77777777" w:rsidR="004A603C" w:rsidRDefault="004A603C" w:rsidP="004A603C">
      <w:pPr>
        <w:jc w:val="both"/>
      </w:pPr>
      <w:r>
        <w:t>◦ Une limitation de l’évolution des dépenses de gestion des services</w:t>
      </w:r>
    </w:p>
    <w:p w14:paraId="713982D0" w14:textId="77777777" w:rsidR="004A603C" w:rsidRDefault="004A603C" w:rsidP="004A603C">
      <w:pPr>
        <w:jc w:val="both"/>
      </w:pPr>
      <w:r>
        <w:t>◦ Une stabilité globale des subventions aux associations</w:t>
      </w:r>
    </w:p>
    <w:p w14:paraId="465C640B" w14:textId="77777777" w:rsidR="004A603C" w:rsidRPr="00002102" w:rsidRDefault="004A603C" w:rsidP="004A603C">
      <w:pPr>
        <w:pStyle w:val="Paragraphedeliste"/>
        <w:numPr>
          <w:ilvl w:val="0"/>
          <w:numId w:val="9"/>
        </w:numPr>
        <w:jc w:val="both"/>
        <w:rPr>
          <w:b/>
          <w:bCs/>
          <w:iCs/>
        </w:rPr>
      </w:pPr>
      <w:r>
        <w:t xml:space="preserve"> </w:t>
      </w:r>
      <w:r w:rsidRPr="00002102">
        <w:rPr>
          <w:b/>
          <w:bCs/>
        </w:rPr>
        <w:t xml:space="preserve">Des recettes de gestion des services marquées par : </w:t>
      </w:r>
    </w:p>
    <w:p w14:paraId="6176C4D9" w14:textId="00656794" w:rsidR="004A603C" w:rsidRDefault="004A603C" w:rsidP="004A603C">
      <w:pPr>
        <w:jc w:val="both"/>
      </w:pPr>
      <w:r>
        <w:t xml:space="preserve">◦ Une </w:t>
      </w:r>
      <w:r w:rsidR="00DC1450">
        <w:t>stagnation</w:t>
      </w:r>
      <w:r>
        <w:t xml:space="preserve"> des concours de l’État </w:t>
      </w:r>
    </w:p>
    <w:p w14:paraId="246AA448" w14:textId="006A0D4E" w:rsidR="004A603C" w:rsidRPr="000728D1" w:rsidRDefault="004A603C" w:rsidP="004A603C">
      <w:pPr>
        <w:jc w:val="both"/>
      </w:pPr>
      <w:r w:rsidRPr="000728D1">
        <w:t xml:space="preserve">◦ </w:t>
      </w:r>
      <w:r w:rsidR="00DC1450" w:rsidRPr="000728D1">
        <w:t>Une légère augmentation</w:t>
      </w:r>
      <w:r w:rsidRPr="000728D1">
        <w:t xml:space="preserve"> </w:t>
      </w:r>
      <w:r w:rsidR="00DC1450" w:rsidRPr="000728D1">
        <w:t xml:space="preserve">(+ </w:t>
      </w:r>
      <w:r w:rsidR="000728D1" w:rsidRPr="000728D1">
        <w:t>1,5</w:t>
      </w:r>
      <w:r w:rsidR="00DC1450" w:rsidRPr="000728D1">
        <w:t xml:space="preserve"> point) </w:t>
      </w:r>
      <w:r w:rsidRPr="000728D1">
        <w:t>d</w:t>
      </w:r>
      <w:r w:rsidR="00DC1450" w:rsidRPr="000728D1">
        <w:t xml:space="preserve">u taux de la taxe foncière sur les propriété bâties (TFPB) </w:t>
      </w:r>
    </w:p>
    <w:p w14:paraId="2A2D23C4" w14:textId="77777777" w:rsidR="004A603C" w:rsidRPr="007C4F5E" w:rsidRDefault="004A603C" w:rsidP="004A603C">
      <w:pPr>
        <w:pStyle w:val="Paragraphedeliste"/>
        <w:numPr>
          <w:ilvl w:val="0"/>
          <w:numId w:val="9"/>
        </w:numPr>
        <w:jc w:val="both"/>
        <w:rPr>
          <w:b/>
          <w:bCs/>
          <w:iCs/>
        </w:rPr>
      </w:pPr>
      <w:r w:rsidRPr="007A7265">
        <w:rPr>
          <w:color w:val="FF0000"/>
        </w:rPr>
        <w:t xml:space="preserve"> </w:t>
      </w:r>
      <w:r w:rsidRPr="007C4F5E">
        <w:rPr>
          <w:b/>
          <w:bCs/>
        </w:rPr>
        <w:t xml:space="preserve">Un programme d’investissement d’un très bon niveau permettant le lancement de nouveaux projets </w:t>
      </w:r>
    </w:p>
    <w:p w14:paraId="20C1E63B" w14:textId="3500A8CC" w:rsidR="004A603C" w:rsidRPr="000728D1" w:rsidRDefault="004A603C" w:rsidP="004A603C">
      <w:pPr>
        <w:jc w:val="both"/>
      </w:pPr>
      <w:r>
        <w:lastRenderedPageBreak/>
        <w:t xml:space="preserve">La baisse massive et nationale de la dotation globale de fonctionnement </w:t>
      </w:r>
      <w:r w:rsidR="00DC1450">
        <w:t xml:space="preserve">entre 2014 et 2017 </w:t>
      </w:r>
      <w:r>
        <w:t xml:space="preserve">rend l’équilibre budgétaire des communes de plus en plus tendu. Cette réduction de recettes pour Fargues Saint-Hilaire survient à un moment où la commune doit augmenter son effort d’investissement à un </w:t>
      </w:r>
      <w:r w:rsidRPr="000728D1">
        <w:t>niveau permettant d’engager de nouveaux programmes de travaux.</w:t>
      </w:r>
    </w:p>
    <w:p w14:paraId="49AA189C" w14:textId="4814F37B" w:rsidR="004A603C" w:rsidRPr="00432D62" w:rsidRDefault="00FF07B3" w:rsidP="004A603C">
      <w:pPr>
        <w:jc w:val="both"/>
        <w:rPr>
          <w:b/>
          <w:bCs/>
        </w:rPr>
      </w:pPr>
      <w:r w:rsidRPr="000728D1">
        <w:t>Le budget 20</w:t>
      </w:r>
      <w:r w:rsidR="00E5223F" w:rsidRPr="000728D1">
        <w:t>2</w:t>
      </w:r>
      <w:r w:rsidR="000728D1" w:rsidRPr="000728D1">
        <w:t>2</w:t>
      </w:r>
      <w:r w:rsidR="004A603C" w:rsidRPr="000728D1">
        <w:t xml:space="preserve"> a été élaboré </w:t>
      </w:r>
      <w:r w:rsidR="00150170" w:rsidRPr="000728D1">
        <w:t>avec</w:t>
      </w:r>
      <w:r w:rsidR="004A603C" w:rsidRPr="000728D1">
        <w:t xml:space="preserve"> hausse d</w:t>
      </w:r>
      <w:r w:rsidR="00DC1450" w:rsidRPr="000728D1">
        <w:t xml:space="preserve">u </w:t>
      </w:r>
      <w:r w:rsidR="004A603C" w:rsidRPr="000728D1">
        <w:t>taux de</w:t>
      </w:r>
      <w:r w:rsidR="00DC1450" w:rsidRPr="000728D1">
        <w:t xml:space="preserve"> TFPB (+ </w:t>
      </w:r>
      <w:r w:rsidR="000728D1" w:rsidRPr="000728D1">
        <w:t>1</w:t>
      </w:r>
      <w:r w:rsidR="00DC1450" w:rsidRPr="000728D1">
        <w:t>,5 po</w:t>
      </w:r>
      <w:r w:rsidR="00432D62">
        <w:t>i</w:t>
      </w:r>
      <w:r w:rsidR="00DC1450" w:rsidRPr="000728D1">
        <w:t xml:space="preserve">nts) et une stagnation du taux de TFPNB (taxe foncière sur les propriétés non-bâties). </w:t>
      </w:r>
      <w:r w:rsidR="00F57F72" w:rsidRPr="000728D1">
        <w:t>L</w:t>
      </w:r>
      <w:r w:rsidR="004A603C" w:rsidRPr="000728D1">
        <w:t xml:space="preserve">a section d’investissement </w:t>
      </w:r>
      <w:r w:rsidR="000728D1" w:rsidRPr="000728D1">
        <w:t>était</w:t>
      </w:r>
      <w:r w:rsidR="004A603C" w:rsidRPr="000728D1">
        <w:t xml:space="preserve">, quant à elle, équilibrée </w:t>
      </w:r>
      <w:r w:rsidR="008513C6" w:rsidRPr="000728D1">
        <w:t>avec un</w:t>
      </w:r>
      <w:r w:rsidR="004A603C" w:rsidRPr="000728D1">
        <w:t xml:space="preserve"> recours à l’emprunt</w:t>
      </w:r>
      <w:r w:rsidR="008513C6" w:rsidRPr="000728D1">
        <w:t xml:space="preserve"> d’équilibre</w:t>
      </w:r>
      <w:r w:rsidR="00D53298" w:rsidRPr="000728D1">
        <w:t xml:space="preserve"> </w:t>
      </w:r>
      <w:r w:rsidR="00D53298" w:rsidRPr="00432D62">
        <w:rPr>
          <w:b/>
          <w:bCs/>
        </w:rPr>
        <w:t>qui n’a finalement pas été réalisé au cours de l’exercice 202</w:t>
      </w:r>
      <w:r w:rsidR="000728D1" w:rsidRPr="00432D62">
        <w:rPr>
          <w:b/>
          <w:bCs/>
        </w:rPr>
        <w:t>2</w:t>
      </w:r>
      <w:r w:rsidR="004A603C" w:rsidRPr="00432D62">
        <w:rPr>
          <w:b/>
          <w:bCs/>
        </w:rPr>
        <w:t>.</w:t>
      </w:r>
    </w:p>
    <w:p w14:paraId="1D7EF4D6" w14:textId="77777777" w:rsidR="004A603C" w:rsidRPr="000728D1" w:rsidRDefault="004A603C" w:rsidP="004A603C">
      <w:pPr>
        <w:jc w:val="both"/>
        <w:rPr>
          <w:rStyle w:val="Accentuation"/>
          <w:i w:val="0"/>
        </w:rPr>
      </w:pPr>
      <w:r w:rsidRPr="000728D1">
        <w:t>Les sections de fonctionnement et investissement structurent le budget de notre collectivité. D'un côté, la gestion des affaires courantes (ou section de fonctionnement) ; de l'autre, la section d'investissement qui a vocation à préparer l'avenir.</w:t>
      </w:r>
    </w:p>
    <w:p w14:paraId="10CF7F58" w14:textId="77777777" w:rsidR="003D77B8" w:rsidRPr="00432D62" w:rsidRDefault="00BD2B82" w:rsidP="00610E29">
      <w:pPr>
        <w:pStyle w:val="Paragraphedeliste"/>
        <w:numPr>
          <w:ilvl w:val="0"/>
          <w:numId w:val="1"/>
        </w:numPr>
        <w:jc w:val="both"/>
        <w:rPr>
          <w:rStyle w:val="Accentuation"/>
          <w:b/>
          <w:i w:val="0"/>
          <w:sz w:val="28"/>
          <w:szCs w:val="28"/>
        </w:rPr>
      </w:pPr>
      <w:r w:rsidRPr="00432D62">
        <w:rPr>
          <w:rStyle w:val="Accentuation"/>
          <w:b/>
          <w:i w:val="0"/>
          <w:sz w:val="28"/>
          <w:szCs w:val="28"/>
        </w:rPr>
        <w:t>La section de fonctionnement</w:t>
      </w:r>
    </w:p>
    <w:p w14:paraId="03550673" w14:textId="77777777" w:rsidR="00BD2B82" w:rsidRDefault="00BD2B82" w:rsidP="00BD2B82">
      <w:pPr>
        <w:pStyle w:val="Paragraphedeliste"/>
        <w:ind w:left="1080"/>
        <w:jc w:val="both"/>
        <w:rPr>
          <w:rStyle w:val="Accentuation"/>
          <w:b/>
          <w:i w:val="0"/>
        </w:rPr>
      </w:pPr>
    </w:p>
    <w:p w14:paraId="6FE51515" w14:textId="77777777" w:rsidR="00182229" w:rsidRPr="00432D62" w:rsidRDefault="00182229" w:rsidP="00610E29">
      <w:pPr>
        <w:pStyle w:val="Paragraphedeliste"/>
        <w:numPr>
          <w:ilvl w:val="0"/>
          <w:numId w:val="3"/>
        </w:numPr>
        <w:jc w:val="both"/>
        <w:rPr>
          <w:rStyle w:val="Accentuation"/>
          <w:b/>
          <w:bCs/>
          <w:i w:val="0"/>
          <w:u w:val="single"/>
        </w:rPr>
      </w:pPr>
      <w:r w:rsidRPr="00432D62">
        <w:rPr>
          <w:rStyle w:val="Accentuation"/>
          <w:b/>
          <w:bCs/>
          <w:i w:val="0"/>
          <w:u w:val="single"/>
        </w:rPr>
        <w:t>Généralités :</w:t>
      </w:r>
    </w:p>
    <w:p w14:paraId="4266C662" w14:textId="77777777" w:rsidR="00182229" w:rsidRPr="00126F73" w:rsidRDefault="00182229" w:rsidP="00610E29">
      <w:pPr>
        <w:jc w:val="both"/>
        <w:rPr>
          <w:rStyle w:val="Accentuation"/>
          <w:i w:val="0"/>
        </w:rPr>
      </w:pPr>
      <w:r w:rsidRPr="00126F73">
        <w:rPr>
          <w:rStyle w:val="Accentuation"/>
          <w:i w:val="0"/>
        </w:rPr>
        <w:t>Le budget de fonctionnement permet à notre collectivité d’assurer le quotidien.</w:t>
      </w:r>
    </w:p>
    <w:p w14:paraId="7BD582D4" w14:textId="77777777" w:rsidR="004A603C" w:rsidRDefault="00182229" w:rsidP="00610E29">
      <w:pPr>
        <w:jc w:val="both"/>
        <w:rPr>
          <w:rStyle w:val="Accentuation"/>
          <w:i w:val="0"/>
        </w:rPr>
      </w:pPr>
      <w:r w:rsidRPr="00126F73">
        <w:rPr>
          <w:rStyle w:val="Accentuation"/>
          <w:i w:val="0"/>
        </w:rPr>
        <w:t xml:space="preserve">La section de fonctionnement regroupe l’ensemble des dépenses et des recettes nécessaires au fonctionnement courant et récurrent des services communaux. </w:t>
      </w:r>
    </w:p>
    <w:p w14:paraId="4908E811" w14:textId="77777777" w:rsidR="00182229" w:rsidRPr="00126F73" w:rsidRDefault="00182229" w:rsidP="00610E29">
      <w:pPr>
        <w:jc w:val="both"/>
        <w:rPr>
          <w:rStyle w:val="Accentuation"/>
          <w:i w:val="0"/>
        </w:rPr>
      </w:pPr>
      <w:r w:rsidRPr="00126F73">
        <w:rPr>
          <w:rStyle w:val="Accentuation"/>
          <w:i w:val="0"/>
        </w:rPr>
        <w:t>Pour notre commune :</w:t>
      </w:r>
    </w:p>
    <w:p w14:paraId="75BBA120" w14:textId="4C1E0991" w:rsidR="00182229" w:rsidRPr="00126F73" w:rsidRDefault="00182229" w:rsidP="00610E29">
      <w:pPr>
        <w:jc w:val="both"/>
        <w:rPr>
          <w:rStyle w:val="Accentuation"/>
          <w:i w:val="0"/>
        </w:rPr>
      </w:pPr>
      <w:r w:rsidRPr="00126F73">
        <w:rPr>
          <w:rStyle w:val="Accentuation"/>
          <w:i w:val="0"/>
        </w:rPr>
        <w:t>Les recettes de fonctionnement correspondent aux sommes encaissées au titre des prestations fournies à la pop</w:t>
      </w:r>
      <w:r w:rsidR="00C07C9B">
        <w:rPr>
          <w:rStyle w:val="Accentuation"/>
          <w:i w:val="0"/>
        </w:rPr>
        <w:t>ulation (cantine, périscolaire</w:t>
      </w:r>
      <w:r w:rsidR="001D4C0C">
        <w:rPr>
          <w:rStyle w:val="Accentuation"/>
          <w:i w:val="0"/>
        </w:rPr>
        <w:t>, temps d’activités périscolaires</w:t>
      </w:r>
      <w:r w:rsidRPr="00126F73">
        <w:rPr>
          <w:rStyle w:val="Accentuation"/>
          <w:i w:val="0"/>
        </w:rPr>
        <w:t xml:space="preserve">…), aux impôts locaux, aux dotations versées par l’Etat, à </w:t>
      </w:r>
      <w:r w:rsidR="004A603C">
        <w:rPr>
          <w:rStyle w:val="Accentuation"/>
          <w:i w:val="0"/>
        </w:rPr>
        <w:t>diverses subventions, ainsi qu’aux revenus des immeubles communaux (loyers</w:t>
      </w:r>
      <w:r w:rsidR="00934C39">
        <w:rPr>
          <w:rStyle w:val="Accentuation"/>
          <w:i w:val="0"/>
        </w:rPr>
        <w:t>, location des salles…</w:t>
      </w:r>
      <w:r w:rsidR="004A603C">
        <w:rPr>
          <w:rStyle w:val="Accentuation"/>
          <w:i w:val="0"/>
        </w:rPr>
        <w:t>).</w:t>
      </w:r>
    </w:p>
    <w:p w14:paraId="3A21375F" w14:textId="0183DFF1" w:rsidR="00182229" w:rsidRPr="007C4F5E" w:rsidRDefault="00182229" w:rsidP="00610E29">
      <w:pPr>
        <w:jc w:val="both"/>
        <w:rPr>
          <w:rStyle w:val="Accentuation"/>
          <w:b/>
          <w:bCs/>
          <w:i w:val="0"/>
        </w:rPr>
      </w:pPr>
      <w:r w:rsidRPr="007C4F5E">
        <w:rPr>
          <w:rStyle w:val="Accentuation"/>
          <w:b/>
          <w:bCs/>
          <w:i w:val="0"/>
        </w:rPr>
        <w:t>Les</w:t>
      </w:r>
      <w:r w:rsidR="00FF07B3" w:rsidRPr="007C4F5E">
        <w:rPr>
          <w:rStyle w:val="Accentuation"/>
          <w:b/>
          <w:bCs/>
          <w:i w:val="0"/>
        </w:rPr>
        <w:t xml:space="preserve"> recettes de fonctionnement 20</w:t>
      </w:r>
      <w:r w:rsidR="00E5223F" w:rsidRPr="007C4F5E">
        <w:rPr>
          <w:rStyle w:val="Accentuation"/>
          <w:b/>
          <w:bCs/>
          <w:i w:val="0"/>
        </w:rPr>
        <w:t>2</w:t>
      </w:r>
      <w:r w:rsidR="000728D1" w:rsidRPr="007C4F5E">
        <w:rPr>
          <w:rStyle w:val="Accentuation"/>
          <w:b/>
          <w:bCs/>
          <w:i w:val="0"/>
        </w:rPr>
        <w:t>2</w:t>
      </w:r>
      <w:r w:rsidRPr="007C4F5E">
        <w:rPr>
          <w:rStyle w:val="Accentuation"/>
          <w:b/>
          <w:bCs/>
          <w:i w:val="0"/>
        </w:rPr>
        <w:t xml:space="preserve"> représentent </w:t>
      </w:r>
      <w:r w:rsidR="009733FA" w:rsidRPr="007C4F5E">
        <w:rPr>
          <w:rStyle w:val="Accentuation"/>
          <w:b/>
          <w:bCs/>
          <w:i w:val="0"/>
        </w:rPr>
        <w:t>2</w:t>
      </w:r>
      <w:r w:rsidR="00A8795F" w:rsidRPr="007C4F5E">
        <w:rPr>
          <w:rStyle w:val="Accentuation"/>
          <w:b/>
          <w:bCs/>
          <w:i w:val="0"/>
        </w:rPr>
        <w:t> 663</w:t>
      </w:r>
      <w:r w:rsidR="00432D62">
        <w:rPr>
          <w:rStyle w:val="Accentuation"/>
          <w:b/>
          <w:bCs/>
          <w:i w:val="0"/>
        </w:rPr>
        <w:t> </w:t>
      </w:r>
      <w:r w:rsidR="00A8795F" w:rsidRPr="007C4F5E">
        <w:rPr>
          <w:rStyle w:val="Accentuation"/>
          <w:b/>
          <w:bCs/>
          <w:i w:val="0"/>
        </w:rPr>
        <w:t>092</w:t>
      </w:r>
      <w:r w:rsidR="00432D62">
        <w:rPr>
          <w:rStyle w:val="Accentuation"/>
          <w:b/>
          <w:bCs/>
          <w:i w:val="0"/>
        </w:rPr>
        <w:t>,</w:t>
      </w:r>
      <w:r w:rsidR="00A8795F" w:rsidRPr="007C4F5E">
        <w:rPr>
          <w:rStyle w:val="Accentuation"/>
          <w:b/>
          <w:bCs/>
          <w:i w:val="0"/>
        </w:rPr>
        <w:t>83</w:t>
      </w:r>
      <w:r w:rsidR="00B45676" w:rsidRPr="007C4F5E">
        <w:rPr>
          <w:rStyle w:val="Accentuation"/>
          <w:b/>
          <w:bCs/>
          <w:i w:val="0"/>
        </w:rPr>
        <w:t xml:space="preserve"> euros.</w:t>
      </w:r>
    </w:p>
    <w:p w14:paraId="2755FCF9" w14:textId="77777777" w:rsidR="00B45676" w:rsidRPr="00126F73" w:rsidRDefault="00B45676" w:rsidP="00610E29">
      <w:pPr>
        <w:jc w:val="both"/>
        <w:rPr>
          <w:rStyle w:val="Accentuation"/>
          <w:i w:val="0"/>
        </w:rPr>
      </w:pPr>
      <w:r w:rsidRPr="00126F73">
        <w:rPr>
          <w:rStyle w:val="Accentuation"/>
          <w:i w:val="0"/>
        </w:rPr>
        <w:t>Les dépenses de fonctionnement sont constituées par les salaires du personnel municipal, l’entretien et la consommation des bâtiments communaux, les achats de matières premières et de fournitures, les prestations de services effectuées, les subventions versées aux associations et les intérêts des emprunts à payer.</w:t>
      </w:r>
    </w:p>
    <w:p w14:paraId="28D69E8C" w14:textId="496D5DFD" w:rsidR="00B45676" w:rsidRPr="00126F73" w:rsidRDefault="009733FA" w:rsidP="00610E29">
      <w:pPr>
        <w:jc w:val="both"/>
        <w:rPr>
          <w:rStyle w:val="Accentuation"/>
          <w:i w:val="0"/>
        </w:rPr>
      </w:pPr>
      <w:r w:rsidRPr="007C4F5E">
        <w:rPr>
          <w:rStyle w:val="Accentuation"/>
          <w:b/>
          <w:bCs/>
          <w:i w:val="0"/>
        </w:rPr>
        <w:t>Les salaires représentent</w:t>
      </w:r>
      <w:r w:rsidR="00A8795F" w:rsidRPr="007C4F5E">
        <w:rPr>
          <w:rStyle w:val="Accentuation"/>
          <w:b/>
          <w:bCs/>
          <w:i w:val="0"/>
        </w:rPr>
        <w:t xml:space="preserve"> un peu moins de</w:t>
      </w:r>
      <w:r w:rsidRPr="007C4F5E">
        <w:rPr>
          <w:rStyle w:val="Accentuation"/>
          <w:b/>
          <w:bCs/>
          <w:i w:val="0"/>
        </w:rPr>
        <w:t xml:space="preserve"> </w:t>
      </w:r>
      <w:r w:rsidR="00150170" w:rsidRPr="007C4F5E">
        <w:rPr>
          <w:rStyle w:val="Accentuation"/>
          <w:b/>
          <w:bCs/>
          <w:i w:val="0"/>
        </w:rPr>
        <w:t>4</w:t>
      </w:r>
      <w:r w:rsidR="00934C39" w:rsidRPr="007C4F5E">
        <w:rPr>
          <w:rStyle w:val="Accentuation"/>
          <w:b/>
          <w:bCs/>
          <w:i w:val="0"/>
        </w:rPr>
        <w:t>8</w:t>
      </w:r>
      <w:r w:rsidR="00B45676" w:rsidRPr="007C4F5E">
        <w:rPr>
          <w:rStyle w:val="Accentuation"/>
          <w:b/>
          <w:bCs/>
          <w:i w:val="0"/>
        </w:rPr>
        <w:t>%</w:t>
      </w:r>
      <w:r w:rsidR="00B45676" w:rsidRPr="00A2037F">
        <w:rPr>
          <w:rStyle w:val="Accentuation"/>
          <w:i w:val="0"/>
        </w:rPr>
        <w:t xml:space="preserve"> des</w:t>
      </w:r>
      <w:r w:rsidR="00B45676" w:rsidRPr="00126F73">
        <w:rPr>
          <w:rStyle w:val="Accentuation"/>
          <w:i w:val="0"/>
        </w:rPr>
        <w:t xml:space="preserve"> dépenses </w:t>
      </w:r>
      <w:r w:rsidR="00457AF0">
        <w:rPr>
          <w:rStyle w:val="Accentuation"/>
          <w:i w:val="0"/>
        </w:rPr>
        <w:t xml:space="preserve">réelles </w:t>
      </w:r>
      <w:r w:rsidR="00B45676" w:rsidRPr="00126F73">
        <w:rPr>
          <w:rStyle w:val="Accentuation"/>
          <w:i w:val="0"/>
        </w:rPr>
        <w:t>de fonctionnement de la commune.</w:t>
      </w:r>
    </w:p>
    <w:p w14:paraId="4C8D1C47" w14:textId="2F967808" w:rsidR="00B45676" w:rsidRPr="007C4F5E" w:rsidRDefault="00B45676" w:rsidP="00610E29">
      <w:pPr>
        <w:jc w:val="both"/>
        <w:rPr>
          <w:rStyle w:val="Accentuation"/>
          <w:b/>
          <w:bCs/>
          <w:i w:val="0"/>
        </w:rPr>
      </w:pPr>
      <w:r w:rsidRPr="007C4F5E">
        <w:rPr>
          <w:rStyle w:val="Accentuation"/>
          <w:b/>
          <w:bCs/>
          <w:i w:val="0"/>
        </w:rPr>
        <w:t>Les</w:t>
      </w:r>
      <w:r w:rsidR="00457AF0" w:rsidRPr="007C4F5E">
        <w:rPr>
          <w:rStyle w:val="Accentuation"/>
          <w:b/>
          <w:bCs/>
          <w:i w:val="0"/>
        </w:rPr>
        <w:t xml:space="preserve"> dépenses de fonctionnement 20</w:t>
      </w:r>
      <w:r w:rsidR="00C512C3" w:rsidRPr="007C4F5E">
        <w:rPr>
          <w:rStyle w:val="Accentuation"/>
          <w:b/>
          <w:bCs/>
          <w:i w:val="0"/>
        </w:rPr>
        <w:t>2</w:t>
      </w:r>
      <w:r w:rsidR="00A8795F" w:rsidRPr="007C4F5E">
        <w:rPr>
          <w:rStyle w:val="Accentuation"/>
          <w:b/>
          <w:bCs/>
          <w:i w:val="0"/>
        </w:rPr>
        <w:t>2</w:t>
      </w:r>
      <w:r w:rsidRPr="007C4F5E">
        <w:rPr>
          <w:rStyle w:val="Accentuation"/>
          <w:b/>
          <w:bCs/>
          <w:i w:val="0"/>
        </w:rPr>
        <w:t xml:space="preserve"> représentent </w:t>
      </w:r>
      <w:r w:rsidR="00A8795F" w:rsidRPr="007C4F5E">
        <w:rPr>
          <w:rStyle w:val="Accentuation"/>
          <w:b/>
          <w:bCs/>
          <w:i w:val="0"/>
        </w:rPr>
        <w:t>2 411 682,58</w:t>
      </w:r>
      <w:r w:rsidR="00723E89" w:rsidRPr="007C4F5E">
        <w:rPr>
          <w:rStyle w:val="Accentuation"/>
          <w:b/>
          <w:bCs/>
          <w:i w:val="0"/>
        </w:rPr>
        <w:t xml:space="preserve"> euros</w:t>
      </w:r>
    </w:p>
    <w:p w14:paraId="5C82AB34" w14:textId="5AA430ED" w:rsidR="00B45676" w:rsidRPr="00126F73" w:rsidRDefault="00B45676" w:rsidP="00610E29">
      <w:pPr>
        <w:jc w:val="both"/>
        <w:rPr>
          <w:rStyle w:val="Accentuation"/>
          <w:i w:val="0"/>
        </w:rPr>
      </w:pPr>
      <w:r w:rsidRPr="00126F73">
        <w:rPr>
          <w:rStyle w:val="Accentuation"/>
          <w:i w:val="0"/>
        </w:rPr>
        <w:t>Au final, l’écart entre le volume total des recettes de fonctionnement et celui des dépenses de fonctionnement constitue l’autofinancement</w:t>
      </w:r>
      <w:r w:rsidR="00723E89">
        <w:rPr>
          <w:rStyle w:val="Accentuation"/>
          <w:i w:val="0"/>
        </w:rPr>
        <w:t xml:space="preserve"> (</w:t>
      </w:r>
      <w:r w:rsidR="00457AF0">
        <w:rPr>
          <w:rStyle w:val="Accentuation"/>
          <w:i w:val="0"/>
        </w:rPr>
        <w:t>en 20</w:t>
      </w:r>
      <w:r w:rsidR="00C512C3">
        <w:rPr>
          <w:rStyle w:val="Accentuation"/>
          <w:i w:val="0"/>
        </w:rPr>
        <w:t>2</w:t>
      </w:r>
      <w:r w:rsidR="00A8795F">
        <w:rPr>
          <w:rStyle w:val="Accentuation"/>
          <w:i w:val="0"/>
        </w:rPr>
        <w:t>2</w:t>
      </w:r>
      <w:r w:rsidR="00723E89">
        <w:rPr>
          <w:rStyle w:val="Accentuation"/>
          <w:i w:val="0"/>
        </w:rPr>
        <w:t xml:space="preserve"> : </w:t>
      </w:r>
      <w:r w:rsidR="00A8795F">
        <w:rPr>
          <w:rStyle w:val="Accentuation"/>
          <w:i w:val="0"/>
        </w:rPr>
        <w:t>250 626,85</w:t>
      </w:r>
      <w:r w:rsidR="00723E89">
        <w:rPr>
          <w:rStyle w:val="Accentuation"/>
          <w:i w:val="0"/>
        </w:rPr>
        <w:t xml:space="preserve"> euros)</w:t>
      </w:r>
      <w:r w:rsidRPr="00126F73">
        <w:rPr>
          <w:rStyle w:val="Accentuation"/>
          <w:i w:val="0"/>
        </w:rPr>
        <w:t>, c’est-à-dire la capacité de la Commune à financer elle-mê</w:t>
      </w:r>
      <w:r w:rsidR="00801BFF" w:rsidRPr="00126F73">
        <w:rPr>
          <w:rStyle w:val="Accentuation"/>
          <w:i w:val="0"/>
        </w:rPr>
        <w:t>me ses projets d’investissement sans recourir nécessairement à un emprunt nouveau.</w:t>
      </w:r>
    </w:p>
    <w:p w14:paraId="1BEEDACF" w14:textId="3CF315D1" w:rsidR="00801BFF" w:rsidRPr="00126F73" w:rsidRDefault="00801BFF" w:rsidP="00610E29">
      <w:pPr>
        <w:jc w:val="both"/>
        <w:rPr>
          <w:rStyle w:val="Accentuation"/>
          <w:i w:val="0"/>
        </w:rPr>
      </w:pPr>
      <w:r w:rsidRPr="00126F73">
        <w:rPr>
          <w:rStyle w:val="Accentuation"/>
          <w:i w:val="0"/>
        </w:rPr>
        <w:t>Les recettes de fonctionnement des communes ont beaucoup baissé du fait d’aides de l’Etat en constante diminution</w:t>
      </w:r>
      <w:r w:rsidR="00C512C3">
        <w:rPr>
          <w:rStyle w:val="Accentuation"/>
          <w:i w:val="0"/>
        </w:rPr>
        <w:t xml:space="preserve">, on constate cependant </w:t>
      </w:r>
      <w:r w:rsidR="00633E22">
        <w:rPr>
          <w:rStyle w:val="Accentuation"/>
          <w:i w:val="0"/>
        </w:rPr>
        <w:t>en 202</w:t>
      </w:r>
      <w:r w:rsidR="007C4F5E">
        <w:rPr>
          <w:rStyle w:val="Accentuation"/>
          <w:i w:val="0"/>
        </w:rPr>
        <w:t>2</w:t>
      </w:r>
      <w:r w:rsidR="00633E22">
        <w:rPr>
          <w:rStyle w:val="Accentuation"/>
          <w:i w:val="0"/>
        </w:rPr>
        <w:t xml:space="preserve"> une légère augmentation</w:t>
      </w:r>
      <w:r w:rsidR="00EF0647">
        <w:rPr>
          <w:rStyle w:val="Accentuation"/>
          <w:i w:val="0"/>
        </w:rPr>
        <w:t xml:space="preserve"> des dotations</w:t>
      </w:r>
      <w:r w:rsidRPr="00126F73">
        <w:rPr>
          <w:rStyle w:val="Accentuation"/>
          <w:i w:val="0"/>
        </w:rPr>
        <w:t> :</w:t>
      </w:r>
    </w:p>
    <w:p w14:paraId="6709B005" w14:textId="589CC5B1" w:rsidR="009733FA" w:rsidRDefault="009733FA" w:rsidP="009733FA">
      <w:pPr>
        <w:jc w:val="both"/>
        <w:rPr>
          <w:rStyle w:val="Accentuation"/>
          <w:i w:val="0"/>
        </w:rPr>
      </w:pPr>
      <w:r w:rsidRPr="00126F73">
        <w:rPr>
          <w:rStyle w:val="Accentuation"/>
          <w:i w:val="0"/>
        </w:rPr>
        <w:t>D</w:t>
      </w:r>
      <w:r>
        <w:rPr>
          <w:rStyle w:val="Accentuation"/>
          <w:i w:val="0"/>
        </w:rPr>
        <w:t>otation Globale Forfaitaire 20</w:t>
      </w:r>
      <w:r w:rsidR="00C512C3">
        <w:rPr>
          <w:rStyle w:val="Accentuation"/>
          <w:i w:val="0"/>
        </w:rPr>
        <w:t>19</w:t>
      </w:r>
      <w:r w:rsidRPr="00126F73">
        <w:rPr>
          <w:rStyle w:val="Accentuation"/>
          <w:i w:val="0"/>
        </w:rPr>
        <w:t xml:space="preserve"> : </w:t>
      </w:r>
      <w:r w:rsidR="00C512C3">
        <w:rPr>
          <w:rStyle w:val="Accentuation"/>
          <w:i w:val="0"/>
        </w:rPr>
        <w:t>285 665</w:t>
      </w:r>
      <w:r w:rsidR="00C512C3" w:rsidRPr="00126F73">
        <w:rPr>
          <w:rStyle w:val="Accentuation"/>
          <w:i w:val="0"/>
        </w:rPr>
        <w:t xml:space="preserve">,00 </w:t>
      </w:r>
      <w:r w:rsidRPr="00126F73">
        <w:rPr>
          <w:rStyle w:val="Accentuation"/>
          <w:i w:val="0"/>
        </w:rPr>
        <w:t>euros</w:t>
      </w:r>
    </w:p>
    <w:p w14:paraId="79B2A4B4" w14:textId="60C45E17" w:rsidR="001E079C" w:rsidRDefault="001E079C" w:rsidP="001E079C">
      <w:pPr>
        <w:jc w:val="both"/>
        <w:rPr>
          <w:rStyle w:val="Accentuation"/>
          <w:i w:val="0"/>
        </w:rPr>
      </w:pPr>
      <w:r w:rsidRPr="00126F73">
        <w:rPr>
          <w:rStyle w:val="Accentuation"/>
          <w:i w:val="0"/>
        </w:rPr>
        <w:lastRenderedPageBreak/>
        <w:t>D</w:t>
      </w:r>
      <w:r>
        <w:rPr>
          <w:rStyle w:val="Accentuation"/>
          <w:i w:val="0"/>
        </w:rPr>
        <w:t>otation Globale Forfaitaire 20</w:t>
      </w:r>
      <w:r w:rsidR="00C512C3">
        <w:rPr>
          <w:rStyle w:val="Accentuation"/>
          <w:i w:val="0"/>
        </w:rPr>
        <w:t>20</w:t>
      </w:r>
      <w:r w:rsidRPr="00126F73">
        <w:rPr>
          <w:rStyle w:val="Accentuation"/>
          <w:i w:val="0"/>
        </w:rPr>
        <w:t xml:space="preserve"> : </w:t>
      </w:r>
      <w:r w:rsidR="00C512C3">
        <w:rPr>
          <w:rStyle w:val="Accentuation"/>
          <w:i w:val="0"/>
        </w:rPr>
        <w:t>284</w:t>
      </w:r>
      <w:r>
        <w:rPr>
          <w:rStyle w:val="Accentuation"/>
          <w:i w:val="0"/>
        </w:rPr>
        <w:t xml:space="preserve"> </w:t>
      </w:r>
      <w:r w:rsidR="00C512C3">
        <w:rPr>
          <w:rStyle w:val="Accentuation"/>
          <w:i w:val="0"/>
        </w:rPr>
        <w:t>919</w:t>
      </w:r>
      <w:r w:rsidRPr="00126F73">
        <w:rPr>
          <w:rStyle w:val="Accentuation"/>
          <w:i w:val="0"/>
        </w:rPr>
        <w:t>,00 euros</w:t>
      </w:r>
    </w:p>
    <w:p w14:paraId="74FAAA5F" w14:textId="5498CFD6" w:rsidR="00AE45E3" w:rsidRDefault="00AE45E3" w:rsidP="00AE45E3">
      <w:pPr>
        <w:jc w:val="both"/>
        <w:rPr>
          <w:rStyle w:val="Accentuation"/>
          <w:i w:val="0"/>
        </w:rPr>
      </w:pPr>
      <w:r w:rsidRPr="00126F73">
        <w:rPr>
          <w:rStyle w:val="Accentuation"/>
          <w:i w:val="0"/>
        </w:rPr>
        <w:t>D</w:t>
      </w:r>
      <w:r>
        <w:rPr>
          <w:rStyle w:val="Accentuation"/>
          <w:i w:val="0"/>
        </w:rPr>
        <w:t>otation Globale Forfaitaire 2021</w:t>
      </w:r>
      <w:r w:rsidRPr="00126F73">
        <w:rPr>
          <w:rStyle w:val="Accentuation"/>
          <w:i w:val="0"/>
        </w:rPr>
        <w:t xml:space="preserve"> : </w:t>
      </w:r>
      <w:r w:rsidR="00633E22">
        <w:rPr>
          <w:rStyle w:val="Accentuation"/>
          <w:i w:val="0"/>
        </w:rPr>
        <w:t>290 443</w:t>
      </w:r>
      <w:r w:rsidRPr="00126F73">
        <w:rPr>
          <w:rStyle w:val="Accentuation"/>
          <w:i w:val="0"/>
        </w:rPr>
        <w:t>,00 euros</w:t>
      </w:r>
    </w:p>
    <w:p w14:paraId="056A2794" w14:textId="3B32DE11" w:rsidR="007C4F5E" w:rsidRDefault="007C4F5E" w:rsidP="00AE45E3">
      <w:pPr>
        <w:jc w:val="both"/>
        <w:rPr>
          <w:rStyle w:val="Accentuation"/>
          <w:i w:val="0"/>
        </w:rPr>
      </w:pPr>
      <w:r>
        <w:rPr>
          <w:rStyle w:val="Accentuation"/>
          <w:i w:val="0"/>
        </w:rPr>
        <w:t>Dotation Globale Forfaitaire 2022 :</w:t>
      </w:r>
      <w:r w:rsidR="00456D3A">
        <w:rPr>
          <w:rStyle w:val="Accentuation"/>
          <w:i w:val="0"/>
        </w:rPr>
        <w:t xml:space="preserve"> 304 111,00 euros</w:t>
      </w:r>
    </w:p>
    <w:p w14:paraId="2E4D24F4" w14:textId="77777777" w:rsidR="00D35F19" w:rsidRPr="00432D62" w:rsidRDefault="00D35F19" w:rsidP="00D35F19">
      <w:pPr>
        <w:pStyle w:val="Paragraphedeliste"/>
        <w:numPr>
          <w:ilvl w:val="0"/>
          <w:numId w:val="3"/>
        </w:numPr>
        <w:jc w:val="both"/>
        <w:rPr>
          <w:rStyle w:val="Accentuation"/>
          <w:b/>
          <w:bCs/>
          <w:i w:val="0"/>
          <w:u w:val="single"/>
        </w:rPr>
      </w:pPr>
      <w:r w:rsidRPr="00432D62">
        <w:rPr>
          <w:rStyle w:val="Accentuation"/>
          <w:b/>
          <w:bCs/>
          <w:i w:val="0"/>
          <w:u w:val="single"/>
        </w:rPr>
        <w:t>Les principales dépenses et recettes de la section de fonctionnement :</w:t>
      </w:r>
    </w:p>
    <w:p w14:paraId="5AF07F99" w14:textId="3FF9D60D" w:rsidR="00456D3A" w:rsidRPr="00456D3A" w:rsidRDefault="00F57F72" w:rsidP="00456D3A">
      <w:pPr>
        <w:jc w:val="both"/>
        <w:rPr>
          <w:rFonts w:ascii="Calibri" w:eastAsia="Times New Roman" w:hAnsi="Calibri" w:cs="Calibri"/>
          <w:color w:val="000000"/>
          <w:lang w:eastAsia="fr-FR"/>
        </w:rPr>
      </w:pPr>
      <w:r>
        <w:t xml:space="preserve">On constate </w:t>
      </w:r>
      <w:r w:rsidR="00992C12">
        <w:t xml:space="preserve">une </w:t>
      </w:r>
      <w:r w:rsidR="000A4149">
        <w:t>augmentation</w:t>
      </w:r>
      <w:r w:rsidR="00D35F19">
        <w:t xml:space="preserve"> des dépense</w:t>
      </w:r>
      <w:r w:rsidR="00593A61">
        <w:t>s réelles en 20</w:t>
      </w:r>
      <w:r w:rsidR="0032343B">
        <w:t>2</w:t>
      </w:r>
      <w:r w:rsidR="00456D3A">
        <w:t>2</w:t>
      </w:r>
      <w:r w:rsidR="00992C12">
        <w:t xml:space="preserve"> : </w:t>
      </w:r>
      <w:r w:rsidR="00593A61">
        <w:t>+</w:t>
      </w:r>
      <w:r w:rsidR="00D14BB8">
        <w:t>10,</w:t>
      </w:r>
      <w:r w:rsidR="00456D3A">
        <w:t>15</w:t>
      </w:r>
      <w:r w:rsidR="00D35F19">
        <w:t xml:space="preserve"> % par ra</w:t>
      </w:r>
      <w:r w:rsidR="00593A61">
        <w:t>pport au montant réalisé en 20</w:t>
      </w:r>
      <w:r w:rsidR="00633E22">
        <w:t>2</w:t>
      </w:r>
      <w:r w:rsidR="00384F7C">
        <w:t>1</w:t>
      </w:r>
      <w:r w:rsidR="00D35F19">
        <w:t xml:space="preserve">. Elles passent de </w:t>
      </w:r>
      <w:r w:rsidR="00D14BB8">
        <w:t>2 189 102</w:t>
      </w:r>
      <w:r w:rsidR="00A46ED9">
        <w:t>,</w:t>
      </w:r>
      <w:r w:rsidR="00D14BB8">
        <w:t>91</w:t>
      </w:r>
      <w:r w:rsidR="00456D3A">
        <w:t xml:space="preserve"> €</w:t>
      </w:r>
      <w:r w:rsidR="003D5B50">
        <w:t xml:space="preserve"> </w:t>
      </w:r>
      <w:r w:rsidR="00456D3A">
        <w:t xml:space="preserve">à </w:t>
      </w:r>
      <w:r w:rsidR="00456D3A" w:rsidRPr="00456D3A">
        <w:rPr>
          <w:rFonts w:ascii="Calibri" w:eastAsia="Times New Roman" w:hAnsi="Calibri" w:cs="Calibri"/>
          <w:color w:val="000000"/>
          <w:lang w:eastAsia="fr-FR"/>
        </w:rPr>
        <w:t>2 411 682,58</w:t>
      </w:r>
      <w:r w:rsidR="00456D3A">
        <w:rPr>
          <w:rFonts w:ascii="Calibri" w:eastAsia="Times New Roman" w:hAnsi="Calibri" w:cs="Calibri"/>
          <w:color w:val="000000"/>
          <w:lang w:eastAsia="fr-FR"/>
        </w:rPr>
        <w:t xml:space="preserve"> </w:t>
      </w:r>
      <w:r w:rsidR="00456D3A" w:rsidRPr="00456D3A">
        <w:rPr>
          <w:rFonts w:ascii="Calibri" w:eastAsia="Times New Roman" w:hAnsi="Calibri" w:cs="Calibri"/>
          <w:color w:val="000000"/>
          <w:lang w:eastAsia="fr-FR"/>
        </w:rPr>
        <w:t>€</w:t>
      </w:r>
    </w:p>
    <w:p w14:paraId="786D6EF6" w14:textId="3E000D86" w:rsidR="00D35F19" w:rsidRPr="00DA0BC6" w:rsidRDefault="00A46ED9" w:rsidP="00D35F19">
      <w:pPr>
        <w:jc w:val="both"/>
        <w:rPr>
          <w:rStyle w:val="Accentuation"/>
          <w:i w:val="0"/>
        </w:rPr>
      </w:pPr>
      <w:r>
        <w:t>En 20</w:t>
      </w:r>
      <w:r w:rsidR="00473013">
        <w:t>2</w:t>
      </w:r>
      <w:r w:rsidR="005D11B1">
        <w:t>2</w:t>
      </w:r>
      <w:r w:rsidR="00D35F19">
        <w:t xml:space="preserve">, les dépenses d’ordre concernent les amortissements pour </w:t>
      </w:r>
      <w:r w:rsidR="00384F7C">
        <w:t xml:space="preserve">61 714 </w:t>
      </w:r>
      <w:r w:rsidR="003D5B50">
        <w:t>€</w:t>
      </w:r>
      <w:r w:rsidR="00D35F19">
        <w:t>.</w:t>
      </w:r>
    </w:p>
    <w:tbl>
      <w:tblPr>
        <w:tblStyle w:val="Grilledutableau"/>
        <w:tblW w:w="7934" w:type="dxa"/>
        <w:jc w:val="center"/>
        <w:tblLook w:val="04A0" w:firstRow="1" w:lastRow="0" w:firstColumn="1" w:lastColumn="0" w:noHBand="0" w:noVBand="1"/>
      </w:tblPr>
      <w:tblGrid>
        <w:gridCol w:w="3456"/>
        <w:gridCol w:w="2267"/>
        <w:gridCol w:w="2211"/>
      </w:tblGrid>
      <w:tr w:rsidR="005D11B1" w:rsidRPr="00DA0BC6" w14:paraId="73A44002" w14:textId="5D165E5B" w:rsidTr="005D11B1">
        <w:trPr>
          <w:trHeight w:val="382"/>
          <w:jc w:val="center"/>
        </w:trPr>
        <w:tc>
          <w:tcPr>
            <w:tcW w:w="3456" w:type="dxa"/>
          </w:tcPr>
          <w:p w14:paraId="1946C8C8" w14:textId="77777777" w:rsidR="005D11B1" w:rsidRPr="00DA0BC6" w:rsidRDefault="005D11B1" w:rsidP="00633E22">
            <w:pPr>
              <w:jc w:val="center"/>
              <w:rPr>
                <w:rStyle w:val="Accentuation"/>
                <w:b/>
                <w:i w:val="0"/>
              </w:rPr>
            </w:pPr>
            <w:r w:rsidRPr="00DA0BC6">
              <w:rPr>
                <w:rStyle w:val="Accentuation"/>
                <w:b/>
                <w:i w:val="0"/>
              </w:rPr>
              <w:t>DEPENSES</w:t>
            </w:r>
          </w:p>
        </w:tc>
        <w:tc>
          <w:tcPr>
            <w:tcW w:w="2267" w:type="dxa"/>
          </w:tcPr>
          <w:p w14:paraId="7688BA24" w14:textId="77777777" w:rsidR="005D11B1" w:rsidRDefault="005D11B1" w:rsidP="00633E22">
            <w:pPr>
              <w:jc w:val="center"/>
              <w:rPr>
                <w:rStyle w:val="Accentuation"/>
                <w:b/>
                <w:i w:val="0"/>
              </w:rPr>
            </w:pPr>
            <w:r w:rsidRPr="00DA0BC6">
              <w:rPr>
                <w:rStyle w:val="Accentuation"/>
                <w:b/>
                <w:i w:val="0"/>
              </w:rPr>
              <w:t>MONTANT</w:t>
            </w:r>
            <w:r>
              <w:rPr>
                <w:rStyle w:val="Accentuation"/>
                <w:b/>
                <w:i w:val="0"/>
              </w:rPr>
              <w:t xml:space="preserve"> REALISE</w:t>
            </w:r>
          </w:p>
          <w:p w14:paraId="7659F1F5" w14:textId="623BB622" w:rsidR="005D11B1" w:rsidRPr="00DA0BC6" w:rsidRDefault="005D11B1" w:rsidP="00633E22">
            <w:pPr>
              <w:jc w:val="center"/>
              <w:rPr>
                <w:rStyle w:val="Accentuation"/>
                <w:b/>
                <w:i w:val="0"/>
              </w:rPr>
            </w:pPr>
            <w:r>
              <w:rPr>
                <w:rStyle w:val="Accentuation"/>
                <w:b/>
                <w:i w:val="0"/>
              </w:rPr>
              <w:t>EN 2021</w:t>
            </w:r>
          </w:p>
        </w:tc>
        <w:tc>
          <w:tcPr>
            <w:tcW w:w="2211" w:type="dxa"/>
          </w:tcPr>
          <w:p w14:paraId="3E2EAEF6" w14:textId="500E452C" w:rsidR="005D11B1" w:rsidRPr="00384F7C" w:rsidRDefault="005D11B1" w:rsidP="00633E22">
            <w:pPr>
              <w:jc w:val="center"/>
              <w:rPr>
                <w:rStyle w:val="Accentuation"/>
                <w:b/>
              </w:rPr>
            </w:pPr>
            <w:r>
              <w:rPr>
                <w:rStyle w:val="Accentuation"/>
                <w:b/>
                <w:i w:val="0"/>
              </w:rPr>
              <w:t>M</w:t>
            </w:r>
            <w:r>
              <w:rPr>
                <w:rStyle w:val="Accentuation"/>
                <w:b/>
              </w:rPr>
              <w:t>ONTANT REALISE EN 2022</w:t>
            </w:r>
          </w:p>
        </w:tc>
      </w:tr>
      <w:tr w:rsidR="005D11B1" w:rsidRPr="00126F73" w14:paraId="3867CE45" w14:textId="1FFAEE68" w:rsidTr="005D11B1">
        <w:trPr>
          <w:trHeight w:val="382"/>
          <w:jc w:val="center"/>
        </w:trPr>
        <w:tc>
          <w:tcPr>
            <w:tcW w:w="3456" w:type="dxa"/>
          </w:tcPr>
          <w:p w14:paraId="7F387E3D" w14:textId="1DF63BB4" w:rsidR="005D11B1" w:rsidRPr="00126F73" w:rsidRDefault="005D11B1" w:rsidP="00633E22">
            <w:pPr>
              <w:jc w:val="both"/>
              <w:rPr>
                <w:rStyle w:val="Accentuation"/>
                <w:i w:val="0"/>
              </w:rPr>
            </w:pPr>
            <w:r>
              <w:rPr>
                <w:rStyle w:val="Accentuation"/>
                <w:i w:val="0"/>
              </w:rPr>
              <w:t>0</w:t>
            </w:r>
            <w:r>
              <w:rPr>
                <w:rStyle w:val="Accentuation"/>
              </w:rPr>
              <w:t xml:space="preserve">11- </w:t>
            </w:r>
            <w:r>
              <w:rPr>
                <w:rStyle w:val="Accentuation"/>
                <w:i w:val="0"/>
              </w:rPr>
              <w:t>Frais de fonctionnement</w:t>
            </w:r>
          </w:p>
        </w:tc>
        <w:tc>
          <w:tcPr>
            <w:tcW w:w="2267" w:type="dxa"/>
          </w:tcPr>
          <w:p w14:paraId="56F2B71E" w14:textId="4F5ED827" w:rsidR="005D11B1" w:rsidRPr="00126F73" w:rsidRDefault="005D11B1" w:rsidP="00633E22">
            <w:pPr>
              <w:jc w:val="right"/>
              <w:rPr>
                <w:rStyle w:val="Accentuation"/>
                <w:i w:val="0"/>
              </w:rPr>
            </w:pPr>
            <w:r>
              <w:rPr>
                <w:rStyle w:val="Accentuation"/>
                <w:i w:val="0"/>
              </w:rPr>
              <w:t>831 526,61</w:t>
            </w:r>
          </w:p>
        </w:tc>
        <w:tc>
          <w:tcPr>
            <w:tcW w:w="2211" w:type="dxa"/>
          </w:tcPr>
          <w:p w14:paraId="7898D9DA" w14:textId="39138665" w:rsidR="005D11B1" w:rsidRDefault="005D11B1" w:rsidP="00633E22">
            <w:pPr>
              <w:jc w:val="right"/>
              <w:rPr>
                <w:rStyle w:val="Accentuation"/>
                <w:i w:val="0"/>
              </w:rPr>
            </w:pPr>
            <w:r>
              <w:rPr>
                <w:rStyle w:val="Accentuation"/>
                <w:i w:val="0"/>
              </w:rPr>
              <w:t>892 840,51</w:t>
            </w:r>
          </w:p>
        </w:tc>
      </w:tr>
      <w:tr w:rsidR="005D11B1" w:rsidRPr="00126F73" w14:paraId="1D8BD8AE" w14:textId="1AEA8ABE" w:rsidTr="005D11B1">
        <w:trPr>
          <w:trHeight w:val="358"/>
          <w:jc w:val="center"/>
        </w:trPr>
        <w:tc>
          <w:tcPr>
            <w:tcW w:w="3456" w:type="dxa"/>
          </w:tcPr>
          <w:p w14:paraId="0160F4C7" w14:textId="37CDCDB2" w:rsidR="005D11B1" w:rsidRPr="00126F73" w:rsidRDefault="005D11B1" w:rsidP="00633E22">
            <w:pPr>
              <w:jc w:val="both"/>
              <w:rPr>
                <w:rStyle w:val="Accentuation"/>
                <w:i w:val="0"/>
              </w:rPr>
            </w:pPr>
            <w:r>
              <w:rPr>
                <w:rStyle w:val="Accentuation"/>
                <w:i w:val="0"/>
              </w:rPr>
              <w:t xml:space="preserve">012- </w:t>
            </w:r>
            <w:r w:rsidRPr="00126F73">
              <w:rPr>
                <w:rStyle w:val="Accentuation"/>
                <w:i w:val="0"/>
              </w:rPr>
              <w:t>Dépenses de personnel</w:t>
            </w:r>
          </w:p>
        </w:tc>
        <w:tc>
          <w:tcPr>
            <w:tcW w:w="2267" w:type="dxa"/>
          </w:tcPr>
          <w:p w14:paraId="7DA4277D" w14:textId="0827804D" w:rsidR="005D11B1" w:rsidRPr="00126F73" w:rsidRDefault="005D11B1" w:rsidP="00633E22">
            <w:pPr>
              <w:jc w:val="right"/>
              <w:rPr>
                <w:rStyle w:val="Accentuation"/>
                <w:i w:val="0"/>
              </w:rPr>
            </w:pPr>
            <w:r>
              <w:rPr>
                <w:rStyle w:val="Accentuation"/>
                <w:i w:val="0"/>
              </w:rPr>
              <w:t>1 074 585,41</w:t>
            </w:r>
          </w:p>
        </w:tc>
        <w:tc>
          <w:tcPr>
            <w:tcW w:w="2211" w:type="dxa"/>
          </w:tcPr>
          <w:p w14:paraId="41491803" w14:textId="18095AC9" w:rsidR="005D11B1" w:rsidRDefault="005D11B1" w:rsidP="00633E22">
            <w:pPr>
              <w:jc w:val="right"/>
              <w:rPr>
                <w:rStyle w:val="Accentuation"/>
                <w:i w:val="0"/>
              </w:rPr>
            </w:pPr>
            <w:r>
              <w:rPr>
                <w:rStyle w:val="Accentuation"/>
                <w:i w:val="0"/>
              </w:rPr>
              <w:t>1 155 997,94</w:t>
            </w:r>
          </w:p>
          <w:p w14:paraId="32D948F5" w14:textId="1B4F0394" w:rsidR="005D11B1" w:rsidRDefault="005D11B1" w:rsidP="00633E22">
            <w:pPr>
              <w:jc w:val="right"/>
              <w:rPr>
                <w:rStyle w:val="Accentuation"/>
                <w:i w:val="0"/>
              </w:rPr>
            </w:pPr>
          </w:p>
        </w:tc>
      </w:tr>
      <w:tr w:rsidR="005D11B1" w:rsidRPr="00126F73" w14:paraId="15E49572" w14:textId="54D09FBE" w:rsidTr="005D11B1">
        <w:trPr>
          <w:trHeight w:val="764"/>
          <w:jc w:val="center"/>
        </w:trPr>
        <w:tc>
          <w:tcPr>
            <w:tcW w:w="3456" w:type="dxa"/>
          </w:tcPr>
          <w:p w14:paraId="19043ED7" w14:textId="00D5DE94" w:rsidR="005D11B1" w:rsidRPr="00126F73" w:rsidRDefault="005D11B1" w:rsidP="00633E22">
            <w:pPr>
              <w:jc w:val="both"/>
              <w:rPr>
                <w:rStyle w:val="Accentuation"/>
                <w:i w:val="0"/>
              </w:rPr>
            </w:pPr>
            <w:r>
              <w:rPr>
                <w:rStyle w:val="Accentuation"/>
                <w:i w:val="0"/>
              </w:rPr>
              <w:t xml:space="preserve">65- </w:t>
            </w:r>
            <w:r w:rsidRPr="00126F73">
              <w:rPr>
                <w:rStyle w:val="Accentuation"/>
                <w:i w:val="0"/>
              </w:rPr>
              <w:t>Autres dépenses de gestion courante</w:t>
            </w:r>
          </w:p>
        </w:tc>
        <w:tc>
          <w:tcPr>
            <w:tcW w:w="2267" w:type="dxa"/>
          </w:tcPr>
          <w:p w14:paraId="2E4E88D8" w14:textId="2F3C9B9F" w:rsidR="005D11B1" w:rsidRPr="00126F73" w:rsidRDefault="005D11B1" w:rsidP="00633E22">
            <w:pPr>
              <w:jc w:val="right"/>
              <w:rPr>
                <w:rStyle w:val="Accentuation"/>
                <w:i w:val="0"/>
              </w:rPr>
            </w:pPr>
            <w:r>
              <w:rPr>
                <w:rStyle w:val="Accentuation"/>
                <w:i w:val="0"/>
              </w:rPr>
              <w:t>202 423,64</w:t>
            </w:r>
          </w:p>
        </w:tc>
        <w:tc>
          <w:tcPr>
            <w:tcW w:w="2211" w:type="dxa"/>
          </w:tcPr>
          <w:p w14:paraId="628D1377" w14:textId="7ADAACF9" w:rsidR="005D11B1" w:rsidRDefault="005D11B1" w:rsidP="00633E22">
            <w:pPr>
              <w:jc w:val="right"/>
              <w:rPr>
                <w:rStyle w:val="Accentuation"/>
                <w:i w:val="0"/>
              </w:rPr>
            </w:pPr>
            <w:r>
              <w:rPr>
                <w:rStyle w:val="Accentuation"/>
                <w:i w:val="0"/>
              </w:rPr>
              <w:t>214 080,62</w:t>
            </w:r>
          </w:p>
        </w:tc>
      </w:tr>
      <w:tr w:rsidR="005D11B1" w:rsidRPr="00126F73" w14:paraId="54C0FBB1" w14:textId="59309518" w:rsidTr="005D11B1">
        <w:trPr>
          <w:trHeight w:val="382"/>
          <w:jc w:val="center"/>
        </w:trPr>
        <w:tc>
          <w:tcPr>
            <w:tcW w:w="3456" w:type="dxa"/>
          </w:tcPr>
          <w:p w14:paraId="7D45FB1F" w14:textId="42F6384D" w:rsidR="005D11B1" w:rsidRPr="00126F73" w:rsidRDefault="005D11B1" w:rsidP="00633E22">
            <w:pPr>
              <w:jc w:val="both"/>
              <w:rPr>
                <w:rStyle w:val="Accentuation"/>
                <w:i w:val="0"/>
              </w:rPr>
            </w:pPr>
            <w:r>
              <w:rPr>
                <w:rStyle w:val="Accentuation"/>
                <w:i w:val="0"/>
              </w:rPr>
              <w:t>66- Charges</w:t>
            </w:r>
            <w:r w:rsidRPr="00126F73">
              <w:rPr>
                <w:rStyle w:val="Accentuation"/>
                <w:i w:val="0"/>
              </w:rPr>
              <w:t xml:space="preserve"> financières</w:t>
            </w:r>
          </w:p>
        </w:tc>
        <w:tc>
          <w:tcPr>
            <w:tcW w:w="2267" w:type="dxa"/>
          </w:tcPr>
          <w:p w14:paraId="57C5A7BE" w14:textId="0B18E59B" w:rsidR="005D11B1" w:rsidRPr="00126F73" w:rsidRDefault="005D11B1" w:rsidP="00633E22">
            <w:pPr>
              <w:jc w:val="right"/>
              <w:rPr>
                <w:rStyle w:val="Accentuation"/>
                <w:i w:val="0"/>
              </w:rPr>
            </w:pPr>
            <w:r>
              <w:rPr>
                <w:rStyle w:val="Accentuation"/>
                <w:i w:val="0"/>
              </w:rPr>
              <w:t>34 133,31</w:t>
            </w:r>
          </w:p>
        </w:tc>
        <w:tc>
          <w:tcPr>
            <w:tcW w:w="2211" w:type="dxa"/>
          </w:tcPr>
          <w:p w14:paraId="37D4A3E5" w14:textId="1C422449" w:rsidR="005D11B1" w:rsidRDefault="005D11B1" w:rsidP="00633E22">
            <w:pPr>
              <w:jc w:val="right"/>
              <w:rPr>
                <w:rStyle w:val="Accentuation"/>
                <w:i w:val="0"/>
              </w:rPr>
            </w:pPr>
            <w:r>
              <w:rPr>
                <w:rStyle w:val="Accentuation"/>
                <w:i w:val="0"/>
              </w:rPr>
              <w:t>32 576,35</w:t>
            </w:r>
          </w:p>
        </w:tc>
      </w:tr>
      <w:tr w:rsidR="005D11B1" w:rsidRPr="00126F73" w14:paraId="07E8E15F" w14:textId="77777777" w:rsidTr="005D11B1">
        <w:trPr>
          <w:trHeight w:val="740"/>
          <w:jc w:val="center"/>
        </w:trPr>
        <w:tc>
          <w:tcPr>
            <w:tcW w:w="3456" w:type="dxa"/>
          </w:tcPr>
          <w:p w14:paraId="35F6A664" w14:textId="7F3B8112" w:rsidR="005D11B1" w:rsidRDefault="005D11B1" w:rsidP="00633E22">
            <w:pPr>
              <w:jc w:val="both"/>
              <w:rPr>
                <w:rStyle w:val="Accentuation"/>
                <w:i w:val="0"/>
              </w:rPr>
            </w:pPr>
            <w:r>
              <w:rPr>
                <w:rStyle w:val="Accentuation"/>
                <w:i w:val="0"/>
              </w:rPr>
              <w:t>014- Atténuation de produits</w:t>
            </w:r>
          </w:p>
        </w:tc>
        <w:tc>
          <w:tcPr>
            <w:tcW w:w="2267" w:type="dxa"/>
          </w:tcPr>
          <w:p w14:paraId="525A1D7F" w14:textId="51EBE4C8" w:rsidR="005D11B1" w:rsidRDefault="005D11B1" w:rsidP="00633E22">
            <w:pPr>
              <w:jc w:val="right"/>
              <w:rPr>
                <w:rStyle w:val="Accentuation"/>
                <w:i w:val="0"/>
              </w:rPr>
            </w:pPr>
            <w:r>
              <w:rPr>
                <w:rStyle w:val="Accentuation"/>
                <w:i w:val="0"/>
              </w:rPr>
              <w:t>42 421,00</w:t>
            </w:r>
          </w:p>
        </w:tc>
        <w:tc>
          <w:tcPr>
            <w:tcW w:w="2211" w:type="dxa"/>
          </w:tcPr>
          <w:p w14:paraId="6CD9A567" w14:textId="77777777" w:rsidR="005D11B1" w:rsidRDefault="005D11B1" w:rsidP="00633E22">
            <w:pPr>
              <w:jc w:val="right"/>
              <w:rPr>
                <w:rStyle w:val="Accentuation"/>
                <w:i w:val="0"/>
              </w:rPr>
            </w:pPr>
            <w:r>
              <w:rPr>
                <w:rStyle w:val="Accentuation"/>
                <w:i w:val="0"/>
              </w:rPr>
              <w:t>39 432,00</w:t>
            </w:r>
          </w:p>
          <w:p w14:paraId="662A82CD" w14:textId="7CA8A548" w:rsidR="005D11B1" w:rsidRDefault="005D11B1" w:rsidP="00633E22">
            <w:pPr>
              <w:jc w:val="right"/>
              <w:rPr>
                <w:rStyle w:val="Accentuation"/>
                <w:i w:val="0"/>
              </w:rPr>
            </w:pPr>
          </w:p>
        </w:tc>
      </w:tr>
      <w:tr w:rsidR="005D11B1" w:rsidRPr="00126F73" w14:paraId="128B0473" w14:textId="73A04A6D" w:rsidTr="005D11B1">
        <w:trPr>
          <w:trHeight w:val="740"/>
          <w:jc w:val="center"/>
        </w:trPr>
        <w:tc>
          <w:tcPr>
            <w:tcW w:w="3456" w:type="dxa"/>
          </w:tcPr>
          <w:p w14:paraId="0A84882D" w14:textId="2ADA7601" w:rsidR="005D11B1" w:rsidRPr="00126F73" w:rsidRDefault="005D11B1" w:rsidP="00633E22">
            <w:pPr>
              <w:jc w:val="both"/>
              <w:rPr>
                <w:rStyle w:val="Accentuation"/>
                <w:i w:val="0"/>
              </w:rPr>
            </w:pPr>
            <w:r>
              <w:rPr>
                <w:rStyle w:val="Accentuation"/>
                <w:i w:val="0"/>
              </w:rPr>
              <w:t>67- Charges</w:t>
            </w:r>
            <w:r w:rsidRPr="00126F73">
              <w:rPr>
                <w:rStyle w:val="Accentuation"/>
                <w:i w:val="0"/>
              </w:rPr>
              <w:t xml:space="preserve"> exceptionnelles</w:t>
            </w:r>
          </w:p>
        </w:tc>
        <w:tc>
          <w:tcPr>
            <w:tcW w:w="2267" w:type="dxa"/>
          </w:tcPr>
          <w:p w14:paraId="65DE0C4E" w14:textId="50CDE2C2" w:rsidR="005D11B1" w:rsidRPr="00126F73" w:rsidRDefault="005D11B1" w:rsidP="00633E22">
            <w:pPr>
              <w:jc w:val="right"/>
              <w:rPr>
                <w:rStyle w:val="Accentuation"/>
                <w:i w:val="0"/>
              </w:rPr>
            </w:pPr>
            <w:r>
              <w:rPr>
                <w:rStyle w:val="Accentuation"/>
                <w:i w:val="0"/>
              </w:rPr>
              <w:t>2 825,54</w:t>
            </w:r>
          </w:p>
        </w:tc>
        <w:tc>
          <w:tcPr>
            <w:tcW w:w="2211" w:type="dxa"/>
          </w:tcPr>
          <w:p w14:paraId="67542750" w14:textId="29982148" w:rsidR="005D11B1" w:rsidRDefault="005D11B1" w:rsidP="00633E22">
            <w:pPr>
              <w:jc w:val="right"/>
              <w:rPr>
                <w:rStyle w:val="Accentuation"/>
                <w:i w:val="0"/>
              </w:rPr>
            </w:pPr>
            <w:r>
              <w:rPr>
                <w:rStyle w:val="Accentuation"/>
                <w:i w:val="0"/>
              </w:rPr>
              <w:t>277,27</w:t>
            </w:r>
          </w:p>
        </w:tc>
      </w:tr>
      <w:tr w:rsidR="005D11B1" w:rsidRPr="00126F73" w14:paraId="304D1562" w14:textId="227521AC" w:rsidTr="005D11B1">
        <w:trPr>
          <w:trHeight w:val="382"/>
          <w:jc w:val="center"/>
        </w:trPr>
        <w:tc>
          <w:tcPr>
            <w:tcW w:w="3456" w:type="dxa"/>
          </w:tcPr>
          <w:p w14:paraId="7A3669C5" w14:textId="73874DF6" w:rsidR="005D11B1" w:rsidRPr="00126F73" w:rsidRDefault="005D11B1" w:rsidP="00633E22">
            <w:pPr>
              <w:jc w:val="both"/>
              <w:rPr>
                <w:rStyle w:val="Accentuation"/>
                <w:i w:val="0"/>
              </w:rPr>
            </w:pPr>
            <w:r>
              <w:rPr>
                <w:rStyle w:val="Accentuation"/>
                <w:i w:val="0"/>
              </w:rPr>
              <w:t xml:space="preserve">022 – Dépenses imprévues </w:t>
            </w:r>
          </w:p>
        </w:tc>
        <w:tc>
          <w:tcPr>
            <w:tcW w:w="2267" w:type="dxa"/>
          </w:tcPr>
          <w:p w14:paraId="3E3C7479" w14:textId="1A62B9F9" w:rsidR="005D11B1" w:rsidRPr="00126F73" w:rsidRDefault="005D11B1" w:rsidP="00633E22">
            <w:pPr>
              <w:jc w:val="right"/>
              <w:rPr>
                <w:rStyle w:val="Accentuation"/>
                <w:i w:val="0"/>
              </w:rPr>
            </w:pPr>
            <w:r>
              <w:rPr>
                <w:rStyle w:val="Accentuation"/>
                <w:i w:val="0"/>
              </w:rPr>
              <w:t>0,00</w:t>
            </w:r>
          </w:p>
        </w:tc>
        <w:tc>
          <w:tcPr>
            <w:tcW w:w="2211" w:type="dxa"/>
          </w:tcPr>
          <w:p w14:paraId="029995C2" w14:textId="2ABE89A2" w:rsidR="005D11B1" w:rsidRDefault="005D11B1" w:rsidP="00633E22">
            <w:pPr>
              <w:jc w:val="right"/>
              <w:rPr>
                <w:rStyle w:val="Accentuation"/>
                <w:i w:val="0"/>
              </w:rPr>
            </w:pPr>
            <w:r>
              <w:rPr>
                <w:rStyle w:val="Accentuation"/>
                <w:i w:val="0"/>
              </w:rPr>
              <w:t>0,00</w:t>
            </w:r>
          </w:p>
        </w:tc>
      </w:tr>
      <w:tr w:rsidR="005D11B1" w:rsidRPr="00126F73" w14:paraId="7D4167F3" w14:textId="5912F7E3" w:rsidTr="005D11B1">
        <w:trPr>
          <w:trHeight w:val="358"/>
          <w:jc w:val="center"/>
        </w:trPr>
        <w:tc>
          <w:tcPr>
            <w:tcW w:w="3456" w:type="dxa"/>
          </w:tcPr>
          <w:p w14:paraId="183A18C3" w14:textId="7073AAF3" w:rsidR="005D11B1" w:rsidRPr="00126F73" w:rsidRDefault="005D11B1" w:rsidP="00633E22">
            <w:pPr>
              <w:jc w:val="both"/>
              <w:rPr>
                <w:rStyle w:val="Accentuation"/>
                <w:i w:val="0"/>
              </w:rPr>
            </w:pPr>
            <w:r>
              <w:rPr>
                <w:rStyle w:val="Accentuation"/>
                <w:i w:val="0"/>
              </w:rPr>
              <w:t>68- Dotations/Provisions</w:t>
            </w:r>
          </w:p>
        </w:tc>
        <w:tc>
          <w:tcPr>
            <w:tcW w:w="2267" w:type="dxa"/>
          </w:tcPr>
          <w:p w14:paraId="033AAE67" w14:textId="50EB2303" w:rsidR="005D11B1" w:rsidRPr="00126F73" w:rsidRDefault="005D11B1" w:rsidP="00633E22">
            <w:pPr>
              <w:jc w:val="right"/>
              <w:rPr>
                <w:rStyle w:val="Accentuation"/>
                <w:i w:val="0"/>
              </w:rPr>
            </w:pPr>
            <w:r>
              <w:rPr>
                <w:rStyle w:val="Accentuation"/>
                <w:i w:val="0"/>
              </w:rPr>
              <w:t>1 187</w:t>
            </w:r>
            <w:r w:rsidRPr="00126F73">
              <w:rPr>
                <w:rStyle w:val="Accentuation"/>
                <w:i w:val="0"/>
              </w:rPr>
              <w:t>,</w:t>
            </w:r>
            <w:r>
              <w:rPr>
                <w:rStyle w:val="Accentuation"/>
                <w:i w:val="0"/>
              </w:rPr>
              <w:t>4</w:t>
            </w:r>
            <w:r w:rsidRPr="00126F73">
              <w:rPr>
                <w:rStyle w:val="Accentuation"/>
                <w:i w:val="0"/>
              </w:rPr>
              <w:t>0</w:t>
            </w:r>
          </w:p>
        </w:tc>
        <w:tc>
          <w:tcPr>
            <w:tcW w:w="2211" w:type="dxa"/>
          </w:tcPr>
          <w:p w14:paraId="47BC9316" w14:textId="6A156919" w:rsidR="005D11B1" w:rsidRDefault="005D11B1" w:rsidP="00633E22">
            <w:pPr>
              <w:jc w:val="right"/>
              <w:rPr>
                <w:rStyle w:val="Accentuation"/>
                <w:i w:val="0"/>
              </w:rPr>
            </w:pPr>
            <w:r>
              <w:rPr>
                <w:rStyle w:val="Accentuation"/>
                <w:i w:val="0"/>
              </w:rPr>
              <w:t>562,95</w:t>
            </w:r>
          </w:p>
        </w:tc>
      </w:tr>
      <w:tr w:rsidR="005D11B1" w:rsidRPr="00126F73" w14:paraId="274C1A42" w14:textId="286398BF" w:rsidTr="005D11B1">
        <w:trPr>
          <w:trHeight w:val="406"/>
          <w:jc w:val="center"/>
        </w:trPr>
        <w:tc>
          <w:tcPr>
            <w:tcW w:w="3456" w:type="dxa"/>
          </w:tcPr>
          <w:p w14:paraId="513DE0DF" w14:textId="77777777" w:rsidR="005D11B1" w:rsidRPr="00C218CB" w:rsidRDefault="005D11B1" w:rsidP="00633E22">
            <w:pPr>
              <w:jc w:val="both"/>
              <w:rPr>
                <w:rStyle w:val="Accentuation"/>
                <w:b/>
              </w:rPr>
            </w:pPr>
            <w:r w:rsidRPr="00C218CB">
              <w:rPr>
                <w:rStyle w:val="Accentuation"/>
                <w:b/>
              </w:rPr>
              <w:t>Total dépenses réelles</w:t>
            </w:r>
          </w:p>
        </w:tc>
        <w:tc>
          <w:tcPr>
            <w:tcW w:w="2267" w:type="dxa"/>
          </w:tcPr>
          <w:p w14:paraId="71035120" w14:textId="4C431B92" w:rsidR="005D11B1" w:rsidRPr="00C218CB" w:rsidRDefault="005D11B1" w:rsidP="00633E22">
            <w:pPr>
              <w:jc w:val="right"/>
              <w:rPr>
                <w:rStyle w:val="Accentuation"/>
                <w:b/>
              </w:rPr>
            </w:pPr>
            <w:r>
              <w:rPr>
                <w:rStyle w:val="Accentuation"/>
                <w:b/>
              </w:rPr>
              <w:t>2 189 102,91</w:t>
            </w:r>
          </w:p>
        </w:tc>
        <w:tc>
          <w:tcPr>
            <w:tcW w:w="2211" w:type="dxa"/>
          </w:tcPr>
          <w:p w14:paraId="0FE7A47E" w14:textId="14F74FFB" w:rsidR="00852B75" w:rsidRDefault="005D11B1" w:rsidP="00633E22">
            <w:pPr>
              <w:jc w:val="right"/>
              <w:rPr>
                <w:rStyle w:val="Accentuation"/>
                <w:b/>
              </w:rPr>
            </w:pPr>
            <w:r>
              <w:rPr>
                <w:rStyle w:val="Accentuation"/>
                <w:b/>
              </w:rPr>
              <w:t>2</w:t>
            </w:r>
            <w:r w:rsidR="00852B75">
              <w:rPr>
                <w:rStyle w:val="Accentuation"/>
                <w:b/>
              </w:rPr>
              <w:t> 335 767,64</w:t>
            </w:r>
          </w:p>
        </w:tc>
      </w:tr>
      <w:tr w:rsidR="005D11B1" w:rsidRPr="00126F73" w14:paraId="37E1116E" w14:textId="449E25BA" w:rsidTr="005D11B1">
        <w:trPr>
          <w:trHeight w:val="205"/>
          <w:jc w:val="center"/>
        </w:trPr>
        <w:tc>
          <w:tcPr>
            <w:tcW w:w="3456" w:type="dxa"/>
          </w:tcPr>
          <w:p w14:paraId="2D982387" w14:textId="77777777" w:rsidR="005D11B1" w:rsidRPr="00126F73" w:rsidRDefault="005D11B1" w:rsidP="00633E22">
            <w:pPr>
              <w:jc w:val="both"/>
              <w:rPr>
                <w:rStyle w:val="Accentuation"/>
                <w:i w:val="0"/>
              </w:rPr>
            </w:pPr>
            <w:r w:rsidRPr="00126F73">
              <w:rPr>
                <w:rStyle w:val="Accentuation"/>
                <w:i w:val="0"/>
              </w:rPr>
              <w:t>Charges (écritures d’ordre entre sections)</w:t>
            </w:r>
          </w:p>
        </w:tc>
        <w:tc>
          <w:tcPr>
            <w:tcW w:w="2267" w:type="dxa"/>
          </w:tcPr>
          <w:p w14:paraId="1A728EE8" w14:textId="69662562" w:rsidR="005D11B1" w:rsidRPr="00126F73" w:rsidRDefault="005D11B1" w:rsidP="00633E22">
            <w:pPr>
              <w:jc w:val="right"/>
              <w:rPr>
                <w:rStyle w:val="Accentuation"/>
                <w:i w:val="0"/>
              </w:rPr>
            </w:pPr>
            <w:r>
              <w:rPr>
                <w:rStyle w:val="Accentuation"/>
                <w:i w:val="0"/>
              </w:rPr>
              <w:t>58 638,94</w:t>
            </w:r>
          </w:p>
        </w:tc>
        <w:tc>
          <w:tcPr>
            <w:tcW w:w="2211" w:type="dxa"/>
          </w:tcPr>
          <w:p w14:paraId="021A3401" w14:textId="7A567197" w:rsidR="005D11B1" w:rsidRDefault="00852B75" w:rsidP="00633E22">
            <w:pPr>
              <w:jc w:val="right"/>
              <w:rPr>
                <w:rStyle w:val="Accentuation"/>
                <w:i w:val="0"/>
              </w:rPr>
            </w:pPr>
            <w:r>
              <w:rPr>
                <w:rStyle w:val="Accentuation"/>
                <w:i w:val="0"/>
              </w:rPr>
              <w:t>61 714,94</w:t>
            </w:r>
          </w:p>
        </w:tc>
      </w:tr>
      <w:tr w:rsidR="005D11B1" w:rsidRPr="00126F73" w14:paraId="59A2D129" w14:textId="4249BF43" w:rsidTr="005D11B1">
        <w:trPr>
          <w:trHeight w:val="205"/>
          <w:jc w:val="center"/>
        </w:trPr>
        <w:tc>
          <w:tcPr>
            <w:tcW w:w="3456" w:type="dxa"/>
          </w:tcPr>
          <w:p w14:paraId="506676D0" w14:textId="77777777" w:rsidR="005D11B1" w:rsidRPr="00C218CB" w:rsidRDefault="005D11B1" w:rsidP="00633E22">
            <w:pPr>
              <w:jc w:val="both"/>
              <w:rPr>
                <w:rStyle w:val="Accentuation"/>
                <w:b/>
                <w:i w:val="0"/>
              </w:rPr>
            </w:pPr>
            <w:r w:rsidRPr="00C218CB">
              <w:rPr>
                <w:rStyle w:val="Accentuation"/>
                <w:b/>
                <w:i w:val="0"/>
              </w:rPr>
              <w:t>TOTAL GENERAL</w:t>
            </w:r>
          </w:p>
        </w:tc>
        <w:tc>
          <w:tcPr>
            <w:tcW w:w="2267" w:type="dxa"/>
          </w:tcPr>
          <w:p w14:paraId="50D36A53" w14:textId="22ED097D" w:rsidR="005D11B1" w:rsidRPr="00C218CB" w:rsidRDefault="005D11B1" w:rsidP="00633E22">
            <w:pPr>
              <w:jc w:val="right"/>
              <w:rPr>
                <w:rStyle w:val="Accentuation"/>
                <w:b/>
                <w:i w:val="0"/>
              </w:rPr>
            </w:pPr>
            <w:r>
              <w:rPr>
                <w:rStyle w:val="Accentuation"/>
                <w:b/>
                <w:i w:val="0"/>
              </w:rPr>
              <w:t>2 247 741,85</w:t>
            </w:r>
          </w:p>
        </w:tc>
        <w:tc>
          <w:tcPr>
            <w:tcW w:w="2211" w:type="dxa"/>
          </w:tcPr>
          <w:p w14:paraId="223B5053" w14:textId="7DAE5B0B" w:rsidR="005D11B1" w:rsidRDefault="00852B75" w:rsidP="00633E22">
            <w:pPr>
              <w:jc w:val="right"/>
              <w:rPr>
                <w:rStyle w:val="Accentuation"/>
                <w:b/>
                <w:i w:val="0"/>
              </w:rPr>
            </w:pPr>
            <w:r>
              <w:rPr>
                <w:rStyle w:val="Accentuation"/>
                <w:b/>
                <w:i w:val="0"/>
              </w:rPr>
              <w:t>2 397 482,58</w:t>
            </w:r>
          </w:p>
        </w:tc>
      </w:tr>
    </w:tbl>
    <w:p w14:paraId="6FF77267" w14:textId="77777777" w:rsidR="006923AA" w:rsidRDefault="006923AA" w:rsidP="00610E29">
      <w:pPr>
        <w:jc w:val="both"/>
        <w:rPr>
          <w:rStyle w:val="Accentuation"/>
          <w:i w:val="0"/>
        </w:rPr>
      </w:pPr>
    </w:p>
    <w:p w14:paraId="32077F2E" w14:textId="77777777" w:rsidR="00E417EB" w:rsidRDefault="00E417EB" w:rsidP="00610E29">
      <w:pPr>
        <w:jc w:val="both"/>
        <w:rPr>
          <w:rStyle w:val="Accentuation"/>
          <w:i w:val="0"/>
        </w:rPr>
      </w:pPr>
      <w:r>
        <w:rPr>
          <w:noProof/>
        </w:rPr>
        <w:drawing>
          <wp:inline distT="0" distB="0" distL="0" distR="0" wp14:anchorId="4F7DAE30" wp14:editId="120CBAE6">
            <wp:extent cx="5372100" cy="2638425"/>
            <wp:effectExtent l="0" t="0" r="0" b="9525"/>
            <wp:docPr id="2" name="Graphique 2">
              <a:extLst xmlns:a="http://schemas.openxmlformats.org/drawingml/2006/main">
                <a:ext uri="{FF2B5EF4-FFF2-40B4-BE49-F238E27FC236}">
                  <a16:creationId xmlns:a16="http://schemas.microsoft.com/office/drawing/2014/main" id="{27F9A945-5123-7EDF-7AE0-4050AB954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EF805" w14:textId="4320E009" w:rsidR="00BD2B82" w:rsidRDefault="00BD2B82" w:rsidP="00610E29">
      <w:pPr>
        <w:jc w:val="both"/>
        <w:rPr>
          <w:rStyle w:val="Accentuation"/>
          <w:i w:val="0"/>
        </w:rPr>
      </w:pPr>
    </w:p>
    <w:p w14:paraId="48BDC7C2" w14:textId="673381E0" w:rsidR="00DA0BC6" w:rsidRPr="00432D62" w:rsidRDefault="00D35F19" w:rsidP="00610E29">
      <w:pPr>
        <w:jc w:val="both"/>
        <w:rPr>
          <w:rStyle w:val="Accentuation"/>
          <w:b/>
          <w:bCs/>
          <w:i w:val="0"/>
        </w:rPr>
      </w:pPr>
      <w:r w:rsidRPr="00432D62">
        <w:rPr>
          <w:rStyle w:val="Accentuation"/>
          <w:b/>
          <w:bCs/>
          <w:i w:val="0"/>
        </w:rPr>
        <w:t xml:space="preserve">Les </w:t>
      </w:r>
      <w:r w:rsidR="00F57F72" w:rsidRPr="00432D62">
        <w:rPr>
          <w:rStyle w:val="Accentuation"/>
          <w:b/>
          <w:bCs/>
          <w:i w:val="0"/>
        </w:rPr>
        <w:t>trois</w:t>
      </w:r>
      <w:r w:rsidRPr="00432D62">
        <w:rPr>
          <w:rStyle w:val="Accentuation"/>
          <w:b/>
          <w:bCs/>
          <w:i w:val="0"/>
        </w:rPr>
        <w:t xml:space="preserve"> principaux types d</w:t>
      </w:r>
      <w:r w:rsidR="002008BC" w:rsidRPr="00432D62">
        <w:rPr>
          <w:rStyle w:val="Accentuation"/>
          <w:b/>
          <w:bCs/>
          <w:i w:val="0"/>
        </w:rPr>
        <w:t>e recettes de la commune en 20</w:t>
      </w:r>
      <w:r w:rsidR="00473013" w:rsidRPr="00432D62">
        <w:rPr>
          <w:rStyle w:val="Accentuation"/>
          <w:b/>
          <w:bCs/>
          <w:i w:val="0"/>
        </w:rPr>
        <w:t>2</w:t>
      </w:r>
      <w:r w:rsidR="00852B75" w:rsidRPr="00432D62">
        <w:rPr>
          <w:rStyle w:val="Accentuation"/>
          <w:b/>
          <w:bCs/>
          <w:i w:val="0"/>
        </w:rPr>
        <w:t>2</w:t>
      </w:r>
      <w:r w:rsidRPr="00432D62">
        <w:rPr>
          <w:rStyle w:val="Accentuation"/>
          <w:b/>
          <w:bCs/>
          <w:i w:val="0"/>
        </w:rPr>
        <w:t xml:space="preserve"> sont :</w:t>
      </w:r>
    </w:p>
    <w:p w14:paraId="33A5458E" w14:textId="0D991A6E" w:rsidR="00D35F19" w:rsidRPr="00D35F19" w:rsidRDefault="00D35F19" w:rsidP="00D35F19">
      <w:pPr>
        <w:pStyle w:val="Paragraphedeliste"/>
        <w:numPr>
          <w:ilvl w:val="0"/>
          <w:numId w:val="9"/>
        </w:numPr>
        <w:jc w:val="both"/>
        <w:rPr>
          <w:iCs/>
        </w:rPr>
      </w:pPr>
      <w:r>
        <w:t>Les recettes encaissées au titre des prestations fournies à la population (</w:t>
      </w:r>
      <w:r w:rsidR="00852B75">
        <w:t>154 070,61</w:t>
      </w:r>
      <w:r>
        <w:t xml:space="preserve"> euros)</w:t>
      </w:r>
      <w:r w:rsidR="003D5B50">
        <w:t> : restauration scolaire, accueil périscolaire…</w:t>
      </w:r>
      <w:r>
        <w:t xml:space="preserve"> ;</w:t>
      </w:r>
    </w:p>
    <w:p w14:paraId="666A1786" w14:textId="6F4AD721" w:rsidR="00D35F19" w:rsidRPr="00D35F19" w:rsidRDefault="00D35F19" w:rsidP="00D35F19">
      <w:pPr>
        <w:pStyle w:val="Paragraphedeliste"/>
        <w:numPr>
          <w:ilvl w:val="0"/>
          <w:numId w:val="9"/>
        </w:numPr>
        <w:jc w:val="both"/>
        <w:rPr>
          <w:iCs/>
        </w:rPr>
      </w:pPr>
      <w:r>
        <w:t>Les impôts locaux et les taxes</w:t>
      </w:r>
      <w:r w:rsidR="00145594">
        <w:t xml:space="preserve"> (1</w:t>
      </w:r>
      <w:r w:rsidR="00852B75">
        <w:t> 850 438,21</w:t>
      </w:r>
      <w:r w:rsidR="00145594">
        <w:t xml:space="preserve"> euros) </w:t>
      </w:r>
      <w:r>
        <w:t xml:space="preserve">; </w:t>
      </w:r>
    </w:p>
    <w:p w14:paraId="0F155FB3" w14:textId="3C3A641C" w:rsidR="00D35F19" w:rsidRPr="00D35F19" w:rsidRDefault="00D35F19" w:rsidP="00D35F19">
      <w:pPr>
        <w:pStyle w:val="Paragraphedeliste"/>
        <w:numPr>
          <w:ilvl w:val="0"/>
          <w:numId w:val="9"/>
        </w:numPr>
        <w:jc w:val="both"/>
        <w:rPr>
          <w:iCs/>
        </w:rPr>
      </w:pPr>
      <w:r>
        <w:t>Les dotations versées par l'Etat, et notamment la dotation globale de fonc</w:t>
      </w:r>
      <w:r w:rsidR="00F57F72">
        <w:t xml:space="preserve">tionnement </w:t>
      </w:r>
      <w:r w:rsidR="00852B75">
        <w:t xml:space="preserve">            </w:t>
      </w:r>
      <w:r w:rsidR="00F57F72">
        <w:t>(</w:t>
      </w:r>
      <w:r w:rsidR="00852B75">
        <w:t>304 111</w:t>
      </w:r>
      <w:r w:rsidR="00F57F72">
        <w:t xml:space="preserve"> euros).</w:t>
      </w:r>
    </w:p>
    <w:p w14:paraId="42051EB5" w14:textId="77777777" w:rsidR="00D35F19" w:rsidRDefault="00D35F19" w:rsidP="00D35F19">
      <w:pPr>
        <w:pStyle w:val="Paragraphedeliste"/>
        <w:jc w:val="both"/>
        <w:rPr>
          <w:rStyle w:val="Accentuation"/>
          <w:i w:val="0"/>
        </w:rPr>
      </w:pPr>
    </w:p>
    <w:tbl>
      <w:tblPr>
        <w:tblStyle w:val="Grilledutableau"/>
        <w:tblW w:w="8065" w:type="dxa"/>
        <w:jc w:val="center"/>
        <w:tblLook w:val="04A0" w:firstRow="1" w:lastRow="0" w:firstColumn="1" w:lastColumn="0" w:noHBand="0" w:noVBand="1"/>
      </w:tblPr>
      <w:tblGrid>
        <w:gridCol w:w="3573"/>
        <w:gridCol w:w="2278"/>
        <w:gridCol w:w="2214"/>
      </w:tblGrid>
      <w:tr w:rsidR="00852B75" w:rsidRPr="00D35F19" w14:paraId="0B82F1B0" w14:textId="64A9A77F" w:rsidTr="00852B75">
        <w:trPr>
          <w:trHeight w:val="382"/>
          <w:jc w:val="center"/>
        </w:trPr>
        <w:tc>
          <w:tcPr>
            <w:tcW w:w="3573" w:type="dxa"/>
          </w:tcPr>
          <w:p w14:paraId="6197B7A3" w14:textId="77777777" w:rsidR="00852B75" w:rsidRPr="00D35F19" w:rsidRDefault="00852B75" w:rsidP="00413120">
            <w:pPr>
              <w:jc w:val="center"/>
              <w:rPr>
                <w:rStyle w:val="Accentuation"/>
                <w:b/>
                <w:i w:val="0"/>
              </w:rPr>
            </w:pPr>
            <w:r w:rsidRPr="00D35F19">
              <w:rPr>
                <w:rStyle w:val="Accentuation"/>
                <w:b/>
                <w:i w:val="0"/>
              </w:rPr>
              <w:t>RECETTES</w:t>
            </w:r>
          </w:p>
        </w:tc>
        <w:tc>
          <w:tcPr>
            <w:tcW w:w="2278" w:type="dxa"/>
          </w:tcPr>
          <w:p w14:paraId="4A0D4471" w14:textId="77777777" w:rsidR="00852B75" w:rsidRDefault="00852B75" w:rsidP="00413120">
            <w:pPr>
              <w:jc w:val="center"/>
              <w:rPr>
                <w:rStyle w:val="Accentuation"/>
                <w:b/>
                <w:i w:val="0"/>
              </w:rPr>
            </w:pPr>
            <w:r w:rsidRPr="00DA0BC6">
              <w:rPr>
                <w:rStyle w:val="Accentuation"/>
                <w:b/>
                <w:i w:val="0"/>
              </w:rPr>
              <w:t>MONTANT</w:t>
            </w:r>
            <w:r>
              <w:rPr>
                <w:rStyle w:val="Accentuation"/>
                <w:b/>
                <w:i w:val="0"/>
              </w:rPr>
              <w:t xml:space="preserve"> REALISE</w:t>
            </w:r>
          </w:p>
          <w:p w14:paraId="7A077791" w14:textId="7F4D1946" w:rsidR="00852B75" w:rsidRPr="00DA0BC6" w:rsidRDefault="00852B75" w:rsidP="00413120">
            <w:pPr>
              <w:jc w:val="center"/>
              <w:rPr>
                <w:rStyle w:val="Accentuation"/>
                <w:b/>
                <w:i w:val="0"/>
              </w:rPr>
            </w:pPr>
            <w:r>
              <w:rPr>
                <w:rStyle w:val="Accentuation"/>
                <w:b/>
                <w:i w:val="0"/>
              </w:rPr>
              <w:t>EN 2021</w:t>
            </w:r>
          </w:p>
        </w:tc>
        <w:tc>
          <w:tcPr>
            <w:tcW w:w="2214" w:type="dxa"/>
          </w:tcPr>
          <w:p w14:paraId="5B8BAC12" w14:textId="7493EFCE" w:rsidR="00852B75" w:rsidRPr="00DA0BC6" w:rsidRDefault="00852B75" w:rsidP="00413120">
            <w:pPr>
              <w:jc w:val="center"/>
              <w:rPr>
                <w:rStyle w:val="Accentuation"/>
                <w:b/>
                <w:i w:val="0"/>
              </w:rPr>
            </w:pPr>
            <w:r>
              <w:rPr>
                <w:rStyle w:val="Accentuation"/>
                <w:b/>
                <w:i w:val="0"/>
              </w:rPr>
              <w:t>MONTANT REALISE EN 2022</w:t>
            </w:r>
          </w:p>
        </w:tc>
      </w:tr>
      <w:tr w:rsidR="00852B75" w:rsidRPr="00126F73" w14:paraId="0BE9C5EF" w14:textId="185525D4" w:rsidTr="00852B75">
        <w:trPr>
          <w:trHeight w:val="382"/>
          <w:jc w:val="center"/>
        </w:trPr>
        <w:tc>
          <w:tcPr>
            <w:tcW w:w="3573" w:type="dxa"/>
          </w:tcPr>
          <w:p w14:paraId="397E91BA" w14:textId="2447F65A" w:rsidR="00852B75" w:rsidRPr="00126F73" w:rsidRDefault="00852B75" w:rsidP="00413120">
            <w:pPr>
              <w:jc w:val="both"/>
              <w:rPr>
                <w:rStyle w:val="Accentuation"/>
                <w:i w:val="0"/>
              </w:rPr>
            </w:pPr>
            <w:r>
              <w:rPr>
                <w:rStyle w:val="Accentuation"/>
                <w:i w:val="0"/>
              </w:rPr>
              <w:t>013- Atténuation de charges</w:t>
            </w:r>
          </w:p>
        </w:tc>
        <w:tc>
          <w:tcPr>
            <w:tcW w:w="2278" w:type="dxa"/>
          </w:tcPr>
          <w:p w14:paraId="49DBAF88" w14:textId="50D83365" w:rsidR="00852B75" w:rsidRPr="00126F73" w:rsidRDefault="00852B75" w:rsidP="00413120">
            <w:pPr>
              <w:jc w:val="right"/>
              <w:rPr>
                <w:rStyle w:val="Accentuation"/>
                <w:i w:val="0"/>
              </w:rPr>
            </w:pPr>
            <w:r>
              <w:rPr>
                <w:rStyle w:val="Accentuation"/>
                <w:i w:val="0"/>
              </w:rPr>
              <w:t>65 462,94</w:t>
            </w:r>
          </w:p>
        </w:tc>
        <w:tc>
          <w:tcPr>
            <w:tcW w:w="2214" w:type="dxa"/>
          </w:tcPr>
          <w:p w14:paraId="1598F017" w14:textId="24737EA7" w:rsidR="00852B75" w:rsidRDefault="00852B75" w:rsidP="00413120">
            <w:pPr>
              <w:jc w:val="right"/>
              <w:rPr>
                <w:rStyle w:val="Accentuation"/>
                <w:i w:val="0"/>
              </w:rPr>
            </w:pPr>
            <w:r>
              <w:rPr>
                <w:rStyle w:val="Accentuation"/>
                <w:i w:val="0"/>
              </w:rPr>
              <w:t>61 761,25</w:t>
            </w:r>
          </w:p>
        </w:tc>
      </w:tr>
      <w:tr w:rsidR="00852B75" w:rsidRPr="00126F73" w14:paraId="5BD3A72C" w14:textId="273F4D11" w:rsidTr="00852B75">
        <w:trPr>
          <w:trHeight w:val="358"/>
          <w:jc w:val="center"/>
        </w:trPr>
        <w:tc>
          <w:tcPr>
            <w:tcW w:w="3573" w:type="dxa"/>
          </w:tcPr>
          <w:p w14:paraId="225B06EA" w14:textId="66F78169" w:rsidR="00852B75" w:rsidRPr="00126F73" w:rsidRDefault="00852B75" w:rsidP="00413120">
            <w:pPr>
              <w:jc w:val="both"/>
              <w:rPr>
                <w:rStyle w:val="Accentuation"/>
                <w:i w:val="0"/>
              </w:rPr>
            </w:pPr>
            <w:r>
              <w:rPr>
                <w:rStyle w:val="Accentuation"/>
                <w:i w:val="0"/>
              </w:rPr>
              <w:t xml:space="preserve">70- </w:t>
            </w:r>
            <w:r w:rsidRPr="00126F73">
              <w:rPr>
                <w:rStyle w:val="Accentuation"/>
                <w:i w:val="0"/>
              </w:rPr>
              <w:t>Recette des services</w:t>
            </w:r>
          </w:p>
        </w:tc>
        <w:tc>
          <w:tcPr>
            <w:tcW w:w="2278" w:type="dxa"/>
          </w:tcPr>
          <w:p w14:paraId="3EB5B453" w14:textId="3B8688FA" w:rsidR="00852B75" w:rsidRPr="00126F73" w:rsidRDefault="00852B75" w:rsidP="00413120">
            <w:pPr>
              <w:jc w:val="right"/>
              <w:rPr>
                <w:rStyle w:val="Accentuation"/>
                <w:i w:val="0"/>
              </w:rPr>
            </w:pPr>
            <w:r>
              <w:rPr>
                <w:rStyle w:val="Accentuation"/>
                <w:i w:val="0"/>
              </w:rPr>
              <w:t>177 147,06</w:t>
            </w:r>
          </w:p>
        </w:tc>
        <w:tc>
          <w:tcPr>
            <w:tcW w:w="2214" w:type="dxa"/>
          </w:tcPr>
          <w:p w14:paraId="427C4D2F" w14:textId="7319E163" w:rsidR="00852B75" w:rsidRDefault="00852B75" w:rsidP="00413120">
            <w:pPr>
              <w:jc w:val="right"/>
              <w:rPr>
                <w:rStyle w:val="Accentuation"/>
                <w:i w:val="0"/>
              </w:rPr>
            </w:pPr>
            <w:r>
              <w:rPr>
                <w:rStyle w:val="Accentuation"/>
                <w:i w:val="0"/>
              </w:rPr>
              <w:t>154 070,61</w:t>
            </w:r>
          </w:p>
        </w:tc>
      </w:tr>
      <w:tr w:rsidR="00852B75" w:rsidRPr="00126F73" w14:paraId="76B9FE7C" w14:textId="35A9CCE8" w:rsidTr="00852B75">
        <w:trPr>
          <w:trHeight w:val="492"/>
          <w:jc w:val="center"/>
        </w:trPr>
        <w:tc>
          <w:tcPr>
            <w:tcW w:w="3573" w:type="dxa"/>
          </w:tcPr>
          <w:p w14:paraId="61C126B6" w14:textId="6C1ADA4F" w:rsidR="00852B75" w:rsidRPr="00126F73" w:rsidRDefault="00852B75" w:rsidP="00413120">
            <w:pPr>
              <w:jc w:val="both"/>
              <w:rPr>
                <w:rStyle w:val="Accentuation"/>
                <w:i w:val="0"/>
              </w:rPr>
            </w:pPr>
            <w:r>
              <w:rPr>
                <w:rStyle w:val="Accentuation"/>
                <w:i w:val="0"/>
              </w:rPr>
              <w:t xml:space="preserve">73- </w:t>
            </w:r>
            <w:r w:rsidRPr="00126F73">
              <w:rPr>
                <w:rStyle w:val="Accentuation"/>
                <w:i w:val="0"/>
              </w:rPr>
              <w:t>Impôts et taxes</w:t>
            </w:r>
          </w:p>
        </w:tc>
        <w:tc>
          <w:tcPr>
            <w:tcW w:w="2278" w:type="dxa"/>
          </w:tcPr>
          <w:p w14:paraId="25778F1C" w14:textId="50C579D2" w:rsidR="00852B75" w:rsidRPr="00126F73" w:rsidRDefault="00852B75" w:rsidP="00413120">
            <w:pPr>
              <w:jc w:val="right"/>
              <w:rPr>
                <w:rStyle w:val="Accentuation"/>
                <w:i w:val="0"/>
              </w:rPr>
            </w:pPr>
            <w:r>
              <w:rPr>
                <w:rStyle w:val="Accentuation"/>
                <w:i w:val="0"/>
              </w:rPr>
              <w:t>1 709 115,91</w:t>
            </w:r>
          </w:p>
        </w:tc>
        <w:tc>
          <w:tcPr>
            <w:tcW w:w="2214" w:type="dxa"/>
          </w:tcPr>
          <w:p w14:paraId="4E26A909" w14:textId="64925149" w:rsidR="00852B75" w:rsidRDefault="00852B75" w:rsidP="00413120">
            <w:pPr>
              <w:jc w:val="right"/>
              <w:rPr>
                <w:rStyle w:val="Accentuation"/>
                <w:i w:val="0"/>
              </w:rPr>
            </w:pPr>
            <w:r>
              <w:rPr>
                <w:rStyle w:val="Accentuation"/>
                <w:i w:val="0"/>
              </w:rPr>
              <w:t>1 850 438,21</w:t>
            </w:r>
          </w:p>
        </w:tc>
      </w:tr>
      <w:tr w:rsidR="00852B75" w:rsidRPr="00126F73" w14:paraId="4D883B74" w14:textId="3C2FA66C" w:rsidTr="00852B75">
        <w:trPr>
          <w:trHeight w:val="382"/>
          <w:jc w:val="center"/>
        </w:trPr>
        <w:tc>
          <w:tcPr>
            <w:tcW w:w="3573" w:type="dxa"/>
          </w:tcPr>
          <w:p w14:paraId="5864C8AA" w14:textId="4C2C6949" w:rsidR="00852B75" w:rsidRPr="00126F73" w:rsidRDefault="00852B75" w:rsidP="00413120">
            <w:pPr>
              <w:jc w:val="both"/>
              <w:rPr>
                <w:rStyle w:val="Accentuation"/>
                <w:i w:val="0"/>
              </w:rPr>
            </w:pPr>
            <w:r>
              <w:rPr>
                <w:rStyle w:val="Accentuation"/>
                <w:i w:val="0"/>
              </w:rPr>
              <w:t xml:space="preserve">74- </w:t>
            </w:r>
            <w:r w:rsidRPr="00126F73">
              <w:rPr>
                <w:rStyle w:val="Accentuation"/>
                <w:i w:val="0"/>
              </w:rPr>
              <w:t>Dotations et participations</w:t>
            </w:r>
          </w:p>
        </w:tc>
        <w:tc>
          <w:tcPr>
            <w:tcW w:w="2278" w:type="dxa"/>
          </w:tcPr>
          <w:p w14:paraId="336F3D1C" w14:textId="3E9917A9" w:rsidR="00852B75" w:rsidRPr="00126F73" w:rsidRDefault="00852B75" w:rsidP="00413120">
            <w:pPr>
              <w:jc w:val="right"/>
              <w:rPr>
                <w:rStyle w:val="Accentuation"/>
                <w:i w:val="0"/>
              </w:rPr>
            </w:pPr>
            <w:r>
              <w:rPr>
                <w:rStyle w:val="Accentuation"/>
                <w:i w:val="0"/>
              </w:rPr>
              <w:t>380 240,79</w:t>
            </w:r>
          </w:p>
        </w:tc>
        <w:tc>
          <w:tcPr>
            <w:tcW w:w="2214" w:type="dxa"/>
          </w:tcPr>
          <w:p w14:paraId="0B104325" w14:textId="4F5766E0" w:rsidR="00852B75" w:rsidRDefault="00852B75" w:rsidP="00413120">
            <w:pPr>
              <w:jc w:val="right"/>
              <w:rPr>
                <w:rStyle w:val="Accentuation"/>
                <w:i w:val="0"/>
              </w:rPr>
            </w:pPr>
            <w:r>
              <w:rPr>
                <w:rStyle w:val="Accentuation"/>
                <w:i w:val="0"/>
              </w:rPr>
              <w:t>418 196,28</w:t>
            </w:r>
          </w:p>
        </w:tc>
      </w:tr>
      <w:tr w:rsidR="00852B75" w:rsidRPr="00126F73" w14:paraId="5DC704D3" w14:textId="09ECA7FA" w:rsidTr="00852B75">
        <w:trPr>
          <w:trHeight w:val="740"/>
          <w:jc w:val="center"/>
        </w:trPr>
        <w:tc>
          <w:tcPr>
            <w:tcW w:w="3573" w:type="dxa"/>
          </w:tcPr>
          <w:p w14:paraId="7E5DBAA3" w14:textId="1ADB3BCA" w:rsidR="00852B75" w:rsidRPr="00126F73" w:rsidRDefault="00B855A5" w:rsidP="00413120">
            <w:pPr>
              <w:jc w:val="both"/>
              <w:rPr>
                <w:rStyle w:val="Accentuation"/>
                <w:i w:val="0"/>
              </w:rPr>
            </w:pPr>
            <w:r>
              <w:rPr>
                <w:rStyle w:val="Accentuation"/>
                <w:i w:val="0"/>
              </w:rPr>
              <w:t xml:space="preserve">75- </w:t>
            </w:r>
            <w:r w:rsidR="00852B75" w:rsidRPr="00126F73">
              <w:rPr>
                <w:rStyle w:val="Accentuation"/>
                <w:i w:val="0"/>
              </w:rPr>
              <w:t>Autres recettes de gestion courante</w:t>
            </w:r>
          </w:p>
        </w:tc>
        <w:tc>
          <w:tcPr>
            <w:tcW w:w="2278" w:type="dxa"/>
          </w:tcPr>
          <w:p w14:paraId="345C8E2C" w14:textId="6A60749F" w:rsidR="00852B75" w:rsidRPr="00126F73" w:rsidRDefault="00852B75" w:rsidP="00413120">
            <w:pPr>
              <w:jc w:val="right"/>
              <w:rPr>
                <w:rStyle w:val="Accentuation"/>
                <w:i w:val="0"/>
              </w:rPr>
            </w:pPr>
            <w:r>
              <w:rPr>
                <w:rStyle w:val="Accentuation"/>
                <w:i w:val="0"/>
              </w:rPr>
              <w:t>25 378,00</w:t>
            </w:r>
          </w:p>
        </w:tc>
        <w:tc>
          <w:tcPr>
            <w:tcW w:w="2214" w:type="dxa"/>
          </w:tcPr>
          <w:p w14:paraId="56F4EAE0" w14:textId="09240DA5" w:rsidR="00852B75" w:rsidRDefault="00B855A5" w:rsidP="00413120">
            <w:pPr>
              <w:jc w:val="right"/>
              <w:rPr>
                <w:rStyle w:val="Accentuation"/>
                <w:i w:val="0"/>
              </w:rPr>
            </w:pPr>
            <w:r>
              <w:rPr>
                <w:rStyle w:val="Accentuation"/>
                <w:i w:val="0"/>
              </w:rPr>
              <w:t>21 927,39</w:t>
            </w:r>
          </w:p>
        </w:tc>
      </w:tr>
      <w:tr w:rsidR="00852B75" w:rsidRPr="00C51EFB" w14:paraId="66B5F033" w14:textId="0CE3710A" w:rsidTr="00852B75">
        <w:trPr>
          <w:trHeight w:val="382"/>
          <w:jc w:val="center"/>
        </w:trPr>
        <w:tc>
          <w:tcPr>
            <w:tcW w:w="3573" w:type="dxa"/>
          </w:tcPr>
          <w:p w14:paraId="37110080" w14:textId="77777777" w:rsidR="00852B75" w:rsidRPr="00C51EFB" w:rsidRDefault="00852B75" w:rsidP="00413120">
            <w:pPr>
              <w:jc w:val="both"/>
              <w:rPr>
                <w:rStyle w:val="Accentuation"/>
                <w:b/>
              </w:rPr>
            </w:pPr>
            <w:r w:rsidRPr="00C51EFB">
              <w:rPr>
                <w:rStyle w:val="Accentuation"/>
                <w:b/>
              </w:rPr>
              <w:t>Total des recettes de gestion courante</w:t>
            </w:r>
          </w:p>
        </w:tc>
        <w:tc>
          <w:tcPr>
            <w:tcW w:w="2278" w:type="dxa"/>
          </w:tcPr>
          <w:p w14:paraId="7C29B29B" w14:textId="0AC130E3" w:rsidR="00852B75" w:rsidRPr="00C51EFB" w:rsidRDefault="00852B75" w:rsidP="00413120">
            <w:pPr>
              <w:jc w:val="right"/>
              <w:rPr>
                <w:rStyle w:val="Accentuation"/>
                <w:b/>
              </w:rPr>
            </w:pPr>
            <w:r>
              <w:rPr>
                <w:rStyle w:val="Accentuation"/>
                <w:b/>
              </w:rPr>
              <w:t>2 357 344,70</w:t>
            </w:r>
          </w:p>
        </w:tc>
        <w:tc>
          <w:tcPr>
            <w:tcW w:w="2214" w:type="dxa"/>
          </w:tcPr>
          <w:p w14:paraId="0C74420F" w14:textId="0ECC2C46" w:rsidR="00852B75" w:rsidRDefault="00B855A5" w:rsidP="00413120">
            <w:pPr>
              <w:jc w:val="right"/>
              <w:rPr>
                <w:rStyle w:val="Accentuation"/>
                <w:b/>
              </w:rPr>
            </w:pPr>
            <w:r>
              <w:rPr>
                <w:rStyle w:val="Accentuation"/>
                <w:b/>
              </w:rPr>
              <w:t>2 506 393,74</w:t>
            </w:r>
          </w:p>
        </w:tc>
      </w:tr>
      <w:tr w:rsidR="00852B75" w:rsidRPr="00126F73" w14:paraId="50F9E027" w14:textId="6317007B" w:rsidTr="00852B75">
        <w:trPr>
          <w:trHeight w:val="382"/>
          <w:jc w:val="center"/>
        </w:trPr>
        <w:tc>
          <w:tcPr>
            <w:tcW w:w="3573" w:type="dxa"/>
          </w:tcPr>
          <w:p w14:paraId="6CCCB329" w14:textId="3E7ED19B" w:rsidR="00852B75" w:rsidRPr="00126F73" w:rsidRDefault="00B855A5" w:rsidP="00413120">
            <w:pPr>
              <w:jc w:val="both"/>
              <w:rPr>
                <w:rStyle w:val="Accentuation"/>
                <w:i w:val="0"/>
              </w:rPr>
            </w:pPr>
            <w:r>
              <w:rPr>
                <w:rStyle w:val="Accentuation"/>
                <w:i w:val="0"/>
              </w:rPr>
              <w:t xml:space="preserve">77- </w:t>
            </w:r>
            <w:r w:rsidR="00852B75" w:rsidRPr="00126F73">
              <w:rPr>
                <w:rStyle w:val="Accentuation"/>
                <w:i w:val="0"/>
              </w:rPr>
              <w:t>Recettes exceptionnelles</w:t>
            </w:r>
          </w:p>
        </w:tc>
        <w:tc>
          <w:tcPr>
            <w:tcW w:w="2278" w:type="dxa"/>
          </w:tcPr>
          <w:p w14:paraId="5F0153D4" w14:textId="07A43115" w:rsidR="00852B75" w:rsidRPr="00126F73" w:rsidRDefault="00852B75" w:rsidP="00413120">
            <w:pPr>
              <w:jc w:val="right"/>
              <w:rPr>
                <w:rStyle w:val="Accentuation"/>
                <w:i w:val="0"/>
              </w:rPr>
            </w:pPr>
            <w:r>
              <w:rPr>
                <w:rStyle w:val="Accentuation"/>
                <w:i w:val="0"/>
              </w:rPr>
              <w:t>15 844,96</w:t>
            </w:r>
          </w:p>
        </w:tc>
        <w:tc>
          <w:tcPr>
            <w:tcW w:w="2214" w:type="dxa"/>
          </w:tcPr>
          <w:p w14:paraId="047A5005" w14:textId="34339EE5" w:rsidR="00852B75" w:rsidRDefault="00B855A5" w:rsidP="00413120">
            <w:pPr>
              <w:jc w:val="right"/>
              <w:rPr>
                <w:rStyle w:val="Accentuation"/>
                <w:i w:val="0"/>
              </w:rPr>
            </w:pPr>
            <w:r>
              <w:rPr>
                <w:rStyle w:val="Accentuation"/>
                <w:i w:val="0"/>
              </w:rPr>
              <w:t>155 494,03</w:t>
            </w:r>
          </w:p>
        </w:tc>
      </w:tr>
      <w:tr w:rsidR="00852B75" w:rsidRPr="00126F73" w14:paraId="02413E03" w14:textId="635C816B" w:rsidTr="00852B75">
        <w:trPr>
          <w:trHeight w:val="358"/>
          <w:jc w:val="center"/>
        </w:trPr>
        <w:tc>
          <w:tcPr>
            <w:tcW w:w="3573" w:type="dxa"/>
          </w:tcPr>
          <w:p w14:paraId="1D1926D7" w14:textId="55D7C3D1" w:rsidR="00852B75" w:rsidRPr="00126F73" w:rsidRDefault="00B855A5" w:rsidP="00413120">
            <w:pPr>
              <w:jc w:val="both"/>
              <w:rPr>
                <w:rStyle w:val="Accentuation"/>
                <w:i w:val="0"/>
              </w:rPr>
            </w:pPr>
            <w:r>
              <w:rPr>
                <w:rStyle w:val="Accentuation"/>
                <w:i w:val="0"/>
              </w:rPr>
              <w:t xml:space="preserve">76- </w:t>
            </w:r>
            <w:r w:rsidR="00852B75" w:rsidRPr="00126F73">
              <w:rPr>
                <w:rStyle w:val="Accentuation"/>
                <w:i w:val="0"/>
              </w:rPr>
              <w:t>Recettes financières</w:t>
            </w:r>
          </w:p>
        </w:tc>
        <w:tc>
          <w:tcPr>
            <w:tcW w:w="2278" w:type="dxa"/>
          </w:tcPr>
          <w:p w14:paraId="6AC4280C" w14:textId="1EE6EA3E" w:rsidR="00852B75" w:rsidRPr="00126F73" w:rsidRDefault="00852B75" w:rsidP="00413120">
            <w:pPr>
              <w:jc w:val="right"/>
              <w:rPr>
                <w:rStyle w:val="Accentuation"/>
                <w:i w:val="0"/>
              </w:rPr>
            </w:pPr>
            <w:r>
              <w:rPr>
                <w:rStyle w:val="Accentuation"/>
                <w:i w:val="0"/>
              </w:rPr>
              <w:t>16,12</w:t>
            </w:r>
          </w:p>
        </w:tc>
        <w:tc>
          <w:tcPr>
            <w:tcW w:w="2214" w:type="dxa"/>
          </w:tcPr>
          <w:p w14:paraId="6EDDC926" w14:textId="55A6B63E" w:rsidR="00852B75" w:rsidRDefault="00B855A5" w:rsidP="00413120">
            <w:pPr>
              <w:jc w:val="right"/>
              <w:rPr>
                <w:rStyle w:val="Accentuation"/>
                <w:i w:val="0"/>
              </w:rPr>
            </w:pPr>
            <w:r>
              <w:rPr>
                <w:rStyle w:val="Accentuation"/>
                <w:i w:val="0"/>
              </w:rPr>
              <w:t>17,66</w:t>
            </w:r>
          </w:p>
        </w:tc>
      </w:tr>
      <w:tr w:rsidR="006E27C6" w:rsidRPr="00126F73" w14:paraId="1FBA15ED" w14:textId="77777777" w:rsidTr="00852B75">
        <w:trPr>
          <w:trHeight w:val="358"/>
          <w:jc w:val="center"/>
        </w:trPr>
        <w:tc>
          <w:tcPr>
            <w:tcW w:w="3573" w:type="dxa"/>
          </w:tcPr>
          <w:p w14:paraId="3793DF6B" w14:textId="09199D9E" w:rsidR="006E27C6" w:rsidRPr="006E27C6" w:rsidRDefault="006E27C6" w:rsidP="00413120">
            <w:pPr>
              <w:jc w:val="both"/>
              <w:rPr>
                <w:rStyle w:val="Accentuation"/>
                <w:iCs w:val="0"/>
              </w:rPr>
            </w:pPr>
            <w:r w:rsidRPr="006E27C6">
              <w:rPr>
                <w:rStyle w:val="Accentuation"/>
                <w:iCs w:val="0"/>
              </w:rPr>
              <w:t>78- Reprise de provision semi budg</w:t>
            </w:r>
          </w:p>
        </w:tc>
        <w:tc>
          <w:tcPr>
            <w:tcW w:w="2278" w:type="dxa"/>
          </w:tcPr>
          <w:p w14:paraId="3EEEDE11" w14:textId="77777777" w:rsidR="006E27C6" w:rsidRDefault="006E27C6" w:rsidP="00413120">
            <w:pPr>
              <w:jc w:val="right"/>
              <w:rPr>
                <w:rStyle w:val="Accentuation"/>
                <w:i w:val="0"/>
              </w:rPr>
            </w:pPr>
          </w:p>
        </w:tc>
        <w:tc>
          <w:tcPr>
            <w:tcW w:w="2214" w:type="dxa"/>
          </w:tcPr>
          <w:p w14:paraId="6CCA15FA" w14:textId="2FF488E1" w:rsidR="006E27C6" w:rsidRDefault="006E27C6" w:rsidP="00413120">
            <w:pPr>
              <w:jc w:val="right"/>
              <w:rPr>
                <w:rStyle w:val="Accentuation"/>
                <w:i w:val="0"/>
              </w:rPr>
            </w:pPr>
            <w:r>
              <w:rPr>
                <w:rStyle w:val="Accentuation"/>
                <w:i w:val="0"/>
              </w:rPr>
              <w:t>1187,40</w:t>
            </w:r>
          </w:p>
        </w:tc>
      </w:tr>
      <w:tr w:rsidR="00852B75" w:rsidRPr="00590A83" w14:paraId="5305867D" w14:textId="4D7AAA7E" w:rsidTr="00852B75">
        <w:trPr>
          <w:trHeight w:val="205"/>
          <w:jc w:val="center"/>
        </w:trPr>
        <w:tc>
          <w:tcPr>
            <w:tcW w:w="3573" w:type="dxa"/>
          </w:tcPr>
          <w:p w14:paraId="1BF4B0EA" w14:textId="77777777" w:rsidR="00852B75" w:rsidRPr="00590A83" w:rsidRDefault="00852B75" w:rsidP="00413120">
            <w:pPr>
              <w:jc w:val="both"/>
              <w:rPr>
                <w:rStyle w:val="Accentuation"/>
                <w:b/>
              </w:rPr>
            </w:pPr>
            <w:r w:rsidRPr="00590A83">
              <w:rPr>
                <w:rStyle w:val="Accentuation"/>
                <w:b/>
              </w:rPr>
              <w:t>Total recettes réelles</w:t>
            </w:r>
          </w:p>
        </w:tc>
        <w:tc>
          <w:tcPr>
            <w:tcW w:w="2278" w:type="dxa"/>
          </w:tcPr>
          <w:p w14:paraId="7D7A2C61" w14:textId="61966048" w:rsidR="00852B75" w:rsidRPr="00590A83" w:rsidRDefault="00852B75" w:rsidP="00413120">
            <w:pPr>
              <w:jc w:val="right"/>
              <w:rPr>
                <w:rStyle w:val="Accentuation"/>
                <w:b/>
              </w:rPr>
            </w:pPr>
            <w:r>
              <w:rPr>
                <w:rStyle w:val="Accentuation"/>
                <w:b/>
              </w:rPr>
              <w:t>2 373 205,78</w:t>
            </w:r>
          </w:p>
        </w:tc>
        <w:tc>
          <w:tcPr>
            <w:tcW w:w="2214" w:type="dxa"/>
          </w:tcPr>
          <w:p w14:paraId="75EB8EFE" w14:textId="1152DE9D" w:rsidR="00852B75" w:rsidRDefault="00B855A5" w:rsidP="00413120">
            <w:pPr>
              <w:jc w:val="right"/>
              <w:rPr>
                <w:rStyle w:val="Accentuation"/>
                <w:b/>
              </w:rPr>
            </w:pPr>
            <w:r>
              <w:rPr>
                <w:rStyle w:val="Accentuation"/>
                <w:b/>
              </w:rPr>
              <w:t>2</w:t>
            </w:r>
            <w:r w:rsidR="006E27C6">
              <w:rPr>
                <w:rStyle w:val="Accentuation"/>
                <w:b/>
              </w:rPr>
              <w:t> </w:t>
            </w:r>
            <w:r>
              <w:rPr>
                <w:rStyle w:val="Accentuation"/>
                <w:b/>
              </w:rPr>
              <w:t>663</w:t>
            </w:r>
            <w:r w:rsidR="006E27C6">
              <w:rPr>
                <w:rStyle w:val="Accentuation"/>
                <w:b/>
              </w:rPr>
              <w:t xml:space="preserve"> </w:t>
            </w:r>
            <w:r>
              <w:rPr>
                <w:rStyle w:val="Accentuation"/>
                <w:b/>
              </w:rPr>
              <w:t>092,83</w:t>
            </w:r>
          </w:p>
        </w:tc>
      </w:tr>
      <w:tr w:rsidR="00852B75" w:rsidRPr="00126F73" w14:paraId="7F3ECE51" w14:textId="68D9A3B4" w:rsidTr="00852B75">
        <w:trPr>
          <w:trHeight w:val="205"/>
          <w:jc w:val="center"/>
        </w:trPr>
        <w:tc>
          <w:tcPr>
            <w:tcW w:w="3573" w:type="dxa"/>
          </w:tcPr>
          <w:p w14:paraId="16054FFD" w14:textId="77777777" w:rsidR="00852B75" w:rsidRPr="00126F73" w:rsidRDefault="00852B75" w:rsidP="00413120">
            <w:pPr>
              <w:jc w:val="both"/>
              <w:rPr>
                <w:rStyle w:val="Accentuation"/>
                <w:i w:val="0"/>
              </w:rPr>
            </w:pPr>
            <w:r w:rsidRPr="00126F73">
              <w:rPr>
                <w:rStyle w:val="Accentuation"/>
                <w:i w:val="0"/>
              </w:rPr>
              <w:t>Produits (écritures d’ordre entre sections)</w:t>
            </w:r>
          </w:p>
        </w:tc>
        <w:tc>
          <w:tcPr>
            <w:tcW w:w="2278" w:type="dxa"/>
          </w:tcPr>
          <w:p w14:paraId="2A1EEB8A" w14:textId="77777777" w:rsidR="00852B75" w:rsidRPr="00126F73" w:rsidRDefault="00852B75" w:rsidP="00413120">
            <w:pPr>
              <w:jc w:val="right"/>
              <w:rPr>
                <w:rStyle w:val="Accentuation"/>
                <w:i w:val="0"/>
              </w:rPr>
            </w:pPr>
            <w:r>
              <w:rPr>
                <w:rStyle w:val="Accentuation"/>
                <w:i w:val="0"/>
              </w:rPr>
              <w:t>0,00</w:t>
            </w:r>
          </w:p>
        </w:tc>
        <w:tc>
          <w:tcPr>
            <w:tcW w:w="2214" w:type="dxa"/>
          </w:tcPr>
          <w:p w14:paraId="006A0CEE" w14:textId="14D4A4D8" w:rsidR="00852B75" w:rsidRDefault="00B855A5" w:rsidP="00413120">
            <w:pPr>
              <w:jc w:val="right"/>
              <w:rPr>
                <w:rStyle w:val="Accentuation"/>
                <w:i w:val="0"/>
              </w:rPr>
            </w:pPr>
            <w:r>
              <w:rPr>
                <w:rStyle w:val="Accentuation"/>
                <w:i w:val="0"/>
              </w:rPr>
              <w:t>0,00</w:t>
            </w:r>
          </w:p>
        </w:tc>
      </w:tr>
      <w:tr w:rsidR="00852B75" w:rsidRPr="00590A83" w14:paraId="6ECEB079" w14:textId="7F7EC672" w:rsidTr="00852B75">
        <w:trPr>
          <w:trHeight w:val="205"/>
          <w:jc w:val="center"/>
        </w:trPr>
        <w:tc>
          <w:tcPr>
            <w:tcW w:w="3573" w:type="dxa"/>
          </w:tcPr>
          <w:p w14:paraId="277DFAAE" w14:textId="77777777" w:rsidR="00852B75" w:rsidRPr="00590A83" w:rsidRDefault="00852B75" w:rsidP="00413120">
            <w:pPr>
              <w:jc w:val="both"/>
              <w:rPr>
                <w:rStyle w:val="Accentuation"/>
                <w:b/>
                <w:i w:val="0"/>
              </w:rPr>
            </w:pPr>
            <w:r w:rsidRPr="00590A83">
              <w:rPr>
                <w:rStyle w:val="Accentuation"/>
                <w:b/>
                <w:i w:val="0"/>
              </w:rPr>
              <w:t>TOTAL GENERAL</w:t>
            </w:r>
          </w:p>
        </w:tc>
        <w:tc>
          <w:tcPr>
            <w:tcW w:w="2278" w:type="dxa"/>
          </w:tcPr>
          <w:p w14:paraId="450513A0" w14:textId="7C9C8E1B" w:rsidR="00852B75" w:rsidRPr="00590A83" w:rsidRDefault="00852B75" w:rsidP="00413120">
            <w:pPr>
              <w:jc w:val="right"/>
              <w:rPr>
                <w:rStyle w:val="Accentuation"/>
                <w:b/>
                <w:i w:val="0"/>
              </w:rPr>
            </w:pPr>
            <w:r>
              <w:rPr>
                <w:rStyle w:val="Accentuation"/>
                <w:b/>
                <w:i w:val="0"/>
              </w:rPr>
              <w:t>2 373 205,78</w:t>
            </w:r>
          </w:p>
        </w:tc>
        <w:tc>
          <w:tcPr>
            <w:tcW w:w="2214" w:type="dxa"/>
          </w:tcPr>
          <w:p w14:paraId="3D900844" w14:textId="41F88CCE" w:rsidR="00852B75" w:rsidRDefault="00B855A5" w:rsidP="00413120">
            <w:pPr>
              <w:jc w:val="right"/>
              <w:rPr>
                <w:rStyle w:val="Accentuation"/>
                <w:b/>
                <w:i w:val="0"/>
              </w:rPr>
            </w:pPr>
            <w:r>
              <w:rPr>
                <w:rStyle w:val="Accentuation"/>
                <w:b/>
                <w:i w:val="0"/>
              </w:rPr>
              <w:t>2 663 092,83</w:t>
            </w:r>
          </w:p>
        </w:tc>
      </w:tr>
    </w:tbl>
    <w:p w14:paraId="2D88DB01" w14:textId="77777777" w:rsidR="00B855A5" w:rsidRDefault="00B855A5" w:rsidP="00610E29">
      <w:pPr>
        <w:jc w:val="both"/>
        <w:rPr>
          <w:rStyle w:val="Accentuation"/>
          <w:i w:val="0"/>
        </w:rPr>
      </w:pPr>
    </w:p>
    <w:p w14:paraId="0A54F983" w14:textId="07B7C031" w:rsidR="00DA0BC6" w:rsidRDefault="00B855A5" w:rsidP="00610E29">
      <w:pPr>
        <w:jc w:val="both"/>
        <w:rPr>
          <w:rStyle w:val="Accentuation"/>
          <w:i w:val="0"/>
        </w:rPr>
      </w:pPr>
      <w:r>
        <w:rPr>
          <w:rStyle w:val="Accentuation"/>
          <w:i w:val="0"/>
        </w:rPr>
        <w:t>A noter que les recettes exceptionnelles proviennent de l’affectation de la somme de 150 000€ du budget annexe d’assainissement vers le budget principal.</w:t>
      </w:r>
    </w:p>
    <w:p w14:paraId="654CE297" w14:textId="00446885" w:rsidR="00D00028" w:rsidRPr="00126F73" w:rsidRDefault="005941EB" w:rsidP="00610E29">
      <w:pPr>
        <w:jc w:val="both"/>
        <w:rPr>
          <w:rStyle w:val="Accentuation"/>
          <w:i w:val="0"/>
        </w:rPr>
      </w:pPr>
      <w:r>
        <w:rPr>
          <w:noProof/>
        </w:rPr>
        <w:drawing>
          <wp:inline distT="0" distB="0" distL="0" distR="0" wp14:anchorId="5B6A63F2" wp14:editId="0D6ACCFE">
            <wp:extent cx="4572000" cy="2743200"/>
            <wp:effectExtent l="0" t="0" r="0" b="0"/>
            <wp:docPr id="1" name="Graphique 1">
              <a:extLst xmlns:a="http://schemas.openxmlformats.org/drawingml/2006/main">
                <a:ext uri="{FF2B5EF4-FFF2-40B4-BE49-F238E27FC236}">
                  <a16:creationId xmlns:a16="http://schemas.microsoft.com/office/drawing/2014/main" id="{203D4862-E1DE-1175-387B-D3B567CBF3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F4CB43" w14:textId="77777777" w:rsidR="004C0BF5" w:rsidRPr="00126F73" w:rsidRDefault="00182229" w:rsidP="00D35F19">
      <w:pPr>
        <w:pStyle w:val="Paragraphedeliste"/>
        <w:numPr>
          <w:ilvl w:val="0"/>
          <w:numId w:val="3"/>
        </w:numPr>
        <w:jc w:val="both"/>
        <w:rPr>
          <w:rStyle w:val="Accentuation"/>
          <w:i w:val="0"/>
        </w:rPr>
      </w:pPr>
      <w:r w:rsidRPr="00126F73">
        <w:rPr>
          <w:rStyle w:val="Accentuation"/>
          <w:i w:val="0"/>
        </w:rPr>
        <w:lastRenderedPageBreak/>
        <w:t>La fiscalité :</w:t>
      </w:r>
    </w:p>
    <w:p w14:paraId="6226BDC7" w14:textId="653A9B1D" w:rsidR="00E14F96" w:rsidRDefault="00590A83" w:rsidP="00610E29">
      <w:pPr>
        <w:jc w:val="both"/>
        <w:rPr>
          <w:rStyle w:val="Accentuation"/>
          <w:i w:val="0"/>
        </w:rPr>
      </w:pPr>
      <w:r>
        <w:rPr>
          <w:rStyle w:val="Accentuation"/>
          <w:i w:val="0"/>
        </w:rPr>
        <w:t>Concernant les ménages, l</w:t>
      </w:r>
      <w:r w:rsidR="00243FBF" w:rsidRPr="00E14F96">
        <w:rPr>
          <w:rStyle w:val="Accentuation"/>
          <w:i w:val="0"/>
        </w:rPr>
        <w:t xml:space="preserve">es taux des impôts locaux </w:t>
      </w:r>
      <w:r w:rsidR="00592D34">
        <w:rPr>
          <w:rStyle w:val="Accentuation"/>
          <w:i w:val="0"/>
        </w:rPr>
        <w:t>en 202</w:t>
      </w:r>
      <w:r w:rsidR="00B855A5">
        <w:rPr>
          <w:rStyle w:val="Accentuation"/>
          <w:i w:val="0"/>
        </w:rPr>
        <w:t>2</w:t>
      </w:r>
      <w:r w:rsidR="00592D34">
        <w:rPr>
          <w:rStyle w:val="Accentuation"/>
          <w:i w:val="0"/>
        </w:rPr>
        <w:t xml:space="preserve"> </w:t>
      </w:r>
      <w:r w:rsidR="00A07946">
        <w:rPr>
          <w:rStyle w:val="Accentuation"/>
          <w:i w:val="0"/>
        </w:rPr>
        <w:t xml:space="preserve">ont </w:t>
      </w:r>
      <w:r w:rsidR="00592D34">
        <w:rPr>
          <w:rStyle w:val="Accentuation"/>
          <w:i w:val="0"/>
        </w:rPr>
        <w:t>été les suivants</w:t>
      </w:r>
      <w:r w:rsidR="00243FBF" w:rsidRPr="00E14F96">
        <w:rPr>
          <w:rStyle w:val="Accentuation"/>
          <w:i w:val="0"/>
        </w:rPr>
        <w:t xml:space="preserve"> : </w:t>
      </w:r>
    </w:p>
    <w:p w14:paraId="7DA038EA" w14:textId="22FE8C8D" w:rsidR="00E14F96" w:rsidRDefault="00E14F96" w:rsidP="00E14F96">
      <w:pPr>
        <w:pStyle w:val="Paragraphedeliste"/>
        <w:numPr>
          <w:ilvl w:val="0"/>
          <w:numId w:val="2"/>
        </w:numPr>
        <w:jc w:val="both"/>
        <w:rPr>
          <w:rStyle w:val="Accentuation"/>
          <w:i w:val="0"/>
        </w:rPr>
      </w:pPr>
      <w:r w:rsidRPr="006F5D0A">
        <w:rPr>
          <w:rStyle w:val="Accentuation"/>
          <w:b/>
          <w:bCs/>
          <w:i w:val="0"/>
        </w:rPr>
        <w:t>Taxe foncière sur le bâti</w:t>
      </w:r>
      <w:r w:rsidR="00D00028" w:rsidRPr="006F5D0A">
        <w:rPr>
          <w:rStyle w:val="Accentuation"/>
          <w:b/>
          <w:bCs/>
          <w:i w:val="0"/>
        </w:rPr>
        <w:t xml:space="preserve"> (TFPB)</w:t>
      </w:r>
      <w:r>
        <w:rPr>
          <w:rStyle w:val="Accentuation"/>
          <w:i w:val="0"/>
        </w:rPr>
        <w:t xml:space="preserve"> : </w:t>
      </w:r>
      <w:r w:rsidR="00560EAC">
        <w:rPr>
          <w:rStyle w:val="Accentuation"/>
          <w:b/>
          <w:bCs/>
          <w:i w:val="0"/>
        </w:rPr>
        <w:t>40,53</w:t>
      </w:r>
      <w:r w:rsidRPr="00E840D1">
        <w:rPr>
          <w:rStyle w:val="Accentuation"/>
          <w:b/>
          <w:bCs/>
          <w:i w:val="0"/>
        </w:rPr>
        <w:t xml:space="preserve"> %</w:t>
      </w:r>
      <w:r w:rsidR="00B76DB4">
        <w:rPr>
          <w:rStyle w:val="Accentuation"/>
          <w:i w:val="0"/>
        </w:rPr>
        <w:t xml:space="preserve"> (soit une augmentation de </w:t>
      </w:r>
      <w:r w:rsidR="00E840D1">
        <w:rPr>
          <w:rStyle w:val="Accentuation"/>
          <w:i w:val="0"/>
        </w:rPr>
        <w:t xml:space="preserve">+ </w:t>
      </w:r>
      <w:r w:rsidR="00560EAC">
        <w:rPr>
          <w:rStyle w:val="Accentuation"/>
          <w:i w:val="0"/>
        </w:rPr>
        <w:t>1</w:t>
      </w:r>
      <w:r w:rsidR="00B76DB4">
        <w:rPr>
          <w:rStyle w:val="Accentuation"/>
          <w:i w:val="0"/>
        </w:rPr>
        <w:t>,5</w:t>
      </w:r>
      <w:r w:rsidR="00E840D1">
        <w:rPr>
          <w:rStyle w:val="Accentuation"/>
          <w:i w:val="0"/>
        </w:rPr>
        <w:t xml:space="preserve"> point</w:t>
      </w:r>
      <w:r w:rsidR="00B76DB4">
        <w:rPr>
          <w:rStyle w:val="Accentuation"/>
          <w:i w:val="0"/>
        </w:rPr>
        <w:t>)</w:t>
      </w:r>
      <w:r w:rsidR="00E840D1">
        <w:rPr>
          <w:rStyle w:val="Accentuation"/>
          <w:i w:val="0"/>
        </w:rPr>
        <w:t> </w:t>
      </w:r>
    </w:p>
    <w:p w14:paraId="36EB65CA" w14:textId="5C34DA3E" w:rsidR="00B76DB4" w:rsidRDefault="00E14F96" w:rsidP="00B76DB4">
      <w:pPr>
        <w:pStyle w:val="Paragraphedeliste"/>
        <w:numPr>
          <w:ilvl w:val="0"/>
          <w:numId w:val="2"/>
        </w:numPr>
        <w:jc w:val="both"/>
        <w:rPr>
          <w:rStyle w:val="Accentuation"/>
          <w:i w:val="0"/>
        </w:rPr>
      </w:pPr>
      <w:r w:rsidRPr="006F5D0A">
        <w:rPr>
          <w:rStyle w:val="Accentuation"/>
          <w:b/>
          <w:bCs/>
          <w:i w:val="0"/>
        </w:rPr>
        <w:t>Taxe foncière sur le non bâti </w:t>
      </w:r>
      <w:r w:rsidR="00D00028" w:rsidRPr="006F5D0A">
        <w:rPr>
          <w:rStyle w:val="Accentuation"/>
          <w:b/>
          <w:bCs/>
          <w:i w:val="0"/>
        </w:rPr>
        <w:t>(TFPNB)</w:t>
      </w:r>
      <w:r w:rsidR="00D00028">
        <w:rPr>
          <w:rStyle w:val="Accentuation"/>
          <w:i w:val="0"/>
        </w:rPr>
        <w:t xml:space="preserve"> </w:t>
      </w:r>
      <w:r>
        <w:rPr>
          <w:rStyle w:val="Accentuation"/>
          <w:i w:val="0"/>
        </w:rPr>
        <w:t xml:space="preserve">: </w:t>
      </w:r>
      <w:r w:rsidRPr="006F5D0A">
        <w:rPr>
          <w:rStyle w:val="Accentuation"/>
          <w:b/>
          <w:bCs/>
          <w:i w:val="0"/>
        </w:rPr>
        <w:t>66,06 %</w:t>
      </w:r>
      <w:r w:rsidR="00B76DB4" w:rsidRPr="00B76DB4">
        <w:rPr>
          <w:rStyle w:val="Accentuation"/>
          <w:i w:val="0"/>
        </w:rPr>
        <w:t xml:space="preserve"> </w:t>
      </w:r>
      <w:r w:rsidR="00B76DB4">
        <w:rPr>
          <w:rStyle w:val="Accentuation"/>
          <w:i w:val="0"/>
        </w:rPr>
        <w:t>(</w:t>
      </w:r>
      <w:r w:rsidR="006F5D0A">
        <w:rPr>
          <w:rStyle w:val="Accentuation"/>
          <w:i w:val="0"/>
        </w:rPr>
        <w:t xml:space="preserve">taux </w:t>
      </w:r>
      <w:r w:rsidR="00B76DB4">
        <w:rPr>
          <w:rStyle w:val="Accentuation"/>
          <w:i w:val="0"/>
        </w:rPr>
        <w:t>égal à 202</w:t>
      </w:r>
      <w:r w:rsidR="00432D62">
        <w:rPr>
          <w:rStyle w:val="Accentuation"/>
          <w:i w:val="0"/>
        </w:rPr>
        <w:t>1</w:t>
      </w:r>
      <w:r w:rsidR="00B76DB4">
        <w:rPr>
          <w:rStyle w:val="Accentuation"/>
          <w:i w:val="0"/>
        </w:rPr>
        <w:t>)</w:t>
      </w:r>
    </w:p>
    <w:p w14:paraId="06B46745" w14:textId="5D2EA293" w:rsidR="00E14F96" w:rsidRPr="00B76DB4" w:rsidRDefault="00B76DB4" w:rsidP="00B76DB4">
      <w:pPr>
        <w:pStyle w:val="Paragraphedeliste"/>
        <w:numPr>
          <w:ilvl w:val="0"/>
          <w:numId w:val="2"/>
        </w:numPr>
        <w:jc w:val="both"/>
        <w:rPr>
          <w:rStyle w:val="Accentuation"/>
          <w:i w:val="0"/>
        </w:rPr>
      </w:pPr>
      <w:r w:rsidRPr="006F5D0A">
        <w:rPr>
          <w:rStyle w:val="Accentuation"/>
          <w:b/>
          <w:bCs/>
          <w:i w:val="0"/>
        </w:rPr>
        <w:t>Taxe d’habitation</w:t>
      </w:r>
      <w:r w:rsidR="006F5D0A" w:rsidRPr="006F5D0A">
        <w:rPr>
          <w:rStyle w:val="Accentuation"/>
          <w:b/>
          <w:bCs/>
          <w:i w:val="0"/>
        </w:rPr>
        <w:t xml:space="preserve"> (TH)</w:t>
      </w:r>
      <w:r w:rsidRPr="00E14F96">
        <w:rPr>
          <w:rStyle w:val="Accentuation"/>
          <w:i w:val="0"/>
        </w:rPr>
        <w:t xml:space="preserve"> : </w:t>
      </w:r>
      <w:r>
        <w:rPr>
          <w:rStyle w:val="Accentuation"/>
          <w:i w:val="0"/>
        </w:rPr>
        <w:t>plus de vote du conseil municipal, la taxe est compensé</w:t>
      </w:r>
      <w:r w:rsidR="00145594">
        <w:rPr>
          <w:rStyle w:val="Accentuation"/>
          <w:i w:val="0"/>
        </w:rPr>
        <w:t>e</w:t>
      </w:r>
      <w:r>
        <w:rPr>
          <w:rStyle w:val="Accentuation"/>
          <w:i w:val="0"/>
        </w:rPr>
        <w:t xml:space="preserve"> par l’état</w:t>
      </w:r>
      <w:r w:rsidR="00D00028">
        <w:rPr>
          <w:rStyle w:val="Accentuation"/>
          <w:i w:val="0"/>
        </w:rPr>
        <w:t xml:space="preserve"> via le transfert de la part départementale de la TFPB et l’application d’un coefficient correcteur</w:t>
      </w:r>
    </w:p>
    <w:p w14:paraId="51EA68A7" w14:textId="77777777" w:rsidR="009F4206" w:rsidRDefault="009F4206" w:rsidP="009F4206">
      <w:pPr>
        <w:jc w:val="both"/>
      </w:pPr>
      <w:r>
        <w:t>Concernant les entreprises, la Cotisation foncière des entreprises (CFE) est perçue par la Communauté de Communes.</w:t>
      </w:r>
    </w:p>
    <w:p w14:paraId="28BDBD6A" w14:textId="76D8C49E" w:rsidR="009F4206" w:rsidRDefault="009F4206" w:rsidP="009F4206">
      <w:pPr>
        <w:jc w:val="both"/>
      </w:pPr>
      <w:r>
        <w:t>Le produi</w:t>
      </w:r>
      <w:r w:rsidR="00A07946">
        <w:t>t de la fiscalité locale en 20</w:t>
      </w:r>
      <w:r w:rsidR="005B6F17">
        <w:t>2</w:t>
      </w:r>
      <w:r w:rsidR="00560EAC">
        <w:t>2</w:t>
      </w:r>
      <w:r>
        <w:t xml:space="preserve"> s'élève à </w:t>
      </w:r>
      <w:r w:rsidR="00560EAC" w:rsidRPr="00560EAC">
        <w:rPr>
          <w:rFonts w:ascii="Calibri" w:eastAsia="Times New Roman" w:hAnsi="Calibri" w:cs="Calibri"/>
          <w:color w:val="000000"/>
          <w:lang w:eastAsia="fr-FR"/>
        </w:rPr>
        <w:t xml:space="preserve">1 486 659,00 </w:t>
      </w:r>
      <w:r>
        <w:t>euros.</w:t>
      </w:r>
    </w:p>
    <w:p w14:paraId="00CF5B2B" w14:textId="77777777" w:rsidR="00D00028" w:rsidRPr="009F4206" w:rsidRDefault="00D00028" w:rsidP="009F4206">
      <w:pPr>
        <w:jc w:val="both"/>
        <w:rPr>
          <w:rStyle w:val="Accentuation"/>
          <w:i w:val="0"/>
        </w:rPr>
      </w:pPr>
    </w:p>
    <w:p w14:paraId="121850D2" w14:textId="77777777" w:rsidR="00182229" w:rsidRPr="00126F73" w:rsidRDefault="00182229" w:rsidP="00D35F19">
      <w:pPr>
        <w:pStyle w:val="Paragraphedeliste"/>
        <w:numPr>
          <w:ilvl w:val="0"/>
          <w:numId w:val="3"/>
        </w:numPr>
        <w:jc w:val="both"/>
        <w:rPr>
          <w:rStyle w:val="Accentuation"/>
          <w:i w:val="0"/>
        </w:rPr>
      </w:pPr>
      <w:r w:rsidRPr="00126F73">
        <w:rPr>
          <w:rStyle w:val="Accentuation"/>
          <w:i w:val="0"/>
        </w:rPr>
        <w:t>Les dotations de l’Etat :</w:t>
      </w:r>
    </w:p>
    <w:p w14:paraId="49E13C70" w14:textId="4C5D658A" w:rsidR="00126F73" w:rsidRDefault="009F4206" w:rsidP="00610E29">
      <w:pPr>
        <w:jc w:val="both"/>
      </w:pPr>
      <w:r>
        <w:t xml:space="preserve">La dotation globale de fonctionnement (DGF) est la principale dotation versée par l’État à la commune. </w:t>
      </w:r>
      <w:r w:rsidR="0037199E">
        <w:t>Après</w:t>
      </w:r>
      <w:r>
        <w:t xml:space="preserve"> diminution constante </w:t>
      </w:r>
      <w:r w:rsidR="00321D4C">
        <w:t>entre 2014 et 2017</w:t>
      </w:r>
      <w:r w:rsidR="0037199E">
        <w:t>, elle semble</w:t>
      </w:r>
      <w:r w:rsidR="00321D4C">
        <w:t xml:space="preserve"> désormais</w:t>
      </w:r>
      <w:r w:rsidR="0037199E">
        <w:t xml:space="preserve"> se stabiliser</w:t>
      </w:r>
      <w:r w:rsidR="00560EAC">
        <w:t xml:space="preserve"> tout en augmentant légèrement</w:t>
      </w:r>
      <w:r>
        <w:t xml:space="preserve"> :</w:t>
      </w:r>
    </w:p>
    <w:tbl>
      <w:tblPr>
        <w:tblStyle w:val="Grilledutableau"/>
        <w:tblW w:w="9288" w:type="dxa"/>
        <w:tblLayout w:type="fixed"/>
        <w:tblLook w:val="04A0" w:firstRow="1" w:lastRow="0" w:firstColumn="1" w:lastColumn="0" w:noHBand="0" w:noVBand="1"/>
      </w:tblPr>
      <w:tblGrid>
        <w:gridCol w:w="1857"/>
        <w:gridCol w:w="1858"/>
        <w:gridCol w:w="1857"/>
        <w:gridCol w:w="1858"/>
        <w:gridCol w:w="1858"/>
      </w:tblGrid>
      <w:tr w:rsidR="00560EAC" w:rsidRPr="00F44843" w14:paraId="623649AA" w14:textId="77777777" w:rsidTr="005B6F17">
        <w:trPr>
          <w:trHeight w:val="284"/>
        </w:trPr>
        <w:tc>
          <w:tcPr>
            <w:tcW w:w="1857" w:type="dxa"/>
          </w:tcPr>
          <w:p w14:paraId="60D87EB6" w14:textId="77777777" w:rsidR="00560EAC" w:rsidRPr="00F44843" w:rsidRDefault="00560EAC" w:rsidP="00560EAC">
            <w:pPr>
              <w:ind w:right="992"/>
              <w:jc w:val="center"/>
              <w:rPr>
                <w:rStyle w:val="Accentuation"/>
                <w:b/>
                <w:i w:val="0"/>
              </w:rPr>
            </w:pPr>
          </w:p>
        </w:tc>
        <w:tc>
          <w:tcPr>
            <w:tcW w:w="1858" w:type="dxa"/>
          </w:tcPr>
          <w:p w14:paraId="6C81E6C7" w14:textId="24017530" w:rsidR="00560EAC" w:rsidRPr="00F44843" w:rsidRDefault="00560EAC" w:rsidP="00560EAC">
            <w:pPr>
              <w:ind w:right="126"/>
              <w:jc w:val="center"/>
              <w:rPr>
                <w:rStyle w:val="Accentuation"/>
                <w:b/>
                <w:i w:val="0"/>
              </w:rPr>
            </w:pPr>
            <w:r>
              <w:rPr>
                <w:rStyle w:val="Accentuation"/>
                <w:b/>
                <w:i w:val="0"/>
              </w:rPr>
              <w:t>2019</w:t>
            </w:r>
          </w:p>
        </w:tc>
        <w:tc>
          <w:tcPr>
            <w:tcW w:w="1857" w:type="dxa"/>
          </w:tcPr>
          <w:p w14:paraId="4E7F5841" w14:textId="0B6275AE" w:rsidR="00560EAC" w:rsidRPr="00F44843" w:rsidRDefault="00560EAC" w:rsidP="00560EAC">
            <w:pPr>
              <w:ind w:right="141"/>
              <w:jc w:val="center"/>
              <w:rPr>
                <w:rStyle w:val="Accentuation"/>
                <w:b/>
                <w:i w:val="0"/>
              </w:rPr>
            </w:pPr>
            <w:r>
              <w:rPr>
                <w:rStyle w:val="Accentuation"/>
                <w:b/>
                <w:i w:val="0"/>
              </w:rPr>
              <w:t>2020</w:t>
            </w:r>
          </w:p>
        </w:tc>
        <w:tc>
          <w:tcPr>
            <w:tcW w:w="1858" w:type="dxa"/>
          </w:tcPr>
          <w:p w14:paraId="0669881D" w14:textId="25B1B837" w:rsidR="00560EAC" w:rsidRPr="00F44843" w:rsidRDefault="00560EAC" w:rsidP="00560EAC">
            <w:pPr>
              <w:ind w:right="141"/>
              <w:jc w:val="center"/>
              <w:rPr>
                <w:rStyle w:val="Accentuation"/>
                <w:b/>
                <w:i w:val="0"/>
              </w:rPr>
            </w:pPr>
            <w:r>
              <w:rPr>
                <w:rStyle w:val="Accentuation"/>
                <w:b/>
                <w:i w:val="0"/>
              </w:rPr>
              <w:t>2021</w:t>
            </w:r>
          </w:p>
        </w:tc>
        <w:tc>
          <w:tcPr>
            <w:tcW w:w="1858" w:type="dxa"/>
          </w:tcPr>
          <w:p w14:paraId="1997737D" w14:textId="0F3DBD99" w:rsidR="00560EAC" w:rsidRPr="00F44843" w:rsidRDefault="00560EAC" w:rsidP="00560EAC">
            <w:pPr>
              <w:ind w:right="141"/>
              <w:jc w:val="center"/>
              <w:rPr>
                <w:rStyle w:val="Accentuation"/>
                <w:b/>
                <w:i w:val="0"/>
              </w:rPr>
            </w:pPr>
            <w:r>
              <w:rPr>
                <w:rStyle w:val="Accentuation"/>
                <w:b/>
                <w:i w:val="0"/>
              </w:rPr>
              <w:t>2022</w:t>
            </w:r>
          </w:p>
        </w:tc>
      </w:tr>
      <w:tr w:rsidR="00560EAC" w14:paraId="1F3BE431" w14:textId="77777777" w:rsidTr="005B6F17">
        <w:trPr>
          <w:trHeight w:val="302"/>
        </w:trPr>
        <w:tc>
          <w:tcPr>
            <w:tcW w:w="1857" w:type="dxa"/>
          </w:tcPr>
          <w:p w14:paraId="57B4F4FE" w14:textId="77777777" w:rsidR="00560EAC" w:rsidRPr="00F44843" w:rsidRDefault="00560EAC" w:rsidP="00560EAC">
            <w:pPr>
              <w:tabs>
                <w:tab w:val="left" w:pos="0"/>
              </w:tabs>
              <w:ind w:right="992"/>
              <w:jc w:val="center"/>
              <w:rPr>
                <w:rStyle w:val="Accentuation"/>
                <w:b/>
                <w:i w:val="0"/>
              </w:rPr>
            </w:pPr>
            <w:r w:rsidRPr="005E7655">
              <w:rPr>
                <w:rStyle w:val="Accentuation"/>
                <w:b/>
                <w:i w:val="0"/>
                <w:sz w:val="20"/>
              </w:rPr>
              <w:t>DGF</w:t>
            </w:r>
          </w:p>
        </w:tc>
        <w:tc>
          <w:tcPr>
            <w:tcW w:w="1858" w:type="dxa"/>
          </w:tcPr>
          <w:p w14:paraId="5427A63D" w14:textId="24CFC8EF" w:rsidR="00560EAC" w:rsidRDefault="00560EAC" w:rsidP="00560EAC">
            <w:pPr>
              <w:ind w:right="268"/>
              <w:jc w:val="right"/>
              <w:rPr>
                <w:rStyle w:val="Accentuation"/>
                <w:i w:val="0"/>
              </w:rPr>
            </w:pPr>
            <w:r>
              <w:rPr>
                <w:rStyle w:val="Accentuation"/>
                <w:i w:val="0"/>
              </w:rPr>
              <w:t>285 665,00</w:t>
            </w:r>
          </w:p>
        </w:tc>
        <w:tc>
          <w:tcPr>
            <w:tcW w:w="1857" w:type="dxa"/>
          </w:tcPr>
          <w:p w14:paraId="10215691" w14:textId="380D75C3" w:rsidR="00560EAC" w:rsidRPr="00126F73" w:rsidRDefault="00560EAC" w:rsidP="00560EAC">
            <w:pPr>
              <w:ind w:right="283"/>
              <w:jc w:val="right"/>
              <w:rPr>
                <w:rStyle w:val="Accentuation"/>
                <w:i w:val="0"/>
              </w:rPr>
            </w:pPr>
            <w:r>
              <w:rPr>
                <w:rStyle w:val="Accentuation"/>
                <w:i w:val="0"/>
              </w:rPr>
              <w:t>284 919,00</w:t>
            </w:r>
          </w:p>
        </w:tc>
        <w:tc>
          <w:tcPr>
            <w:tcW w:w="1858" w:type="dxa"/>
          </w:tcPr>
          <w:p w14:paraId="6A02BB6F" w14:textId="7427563A" w:rsidR="00560EAC" w:rsidRPr="00126F73" w:rsidRDefault="00560EAC" w:rsidP="00560EAC">
            <w:pPr>
              <w:ind w:right="283"/>
              <w:jc w:val="right"/>
              <w:rPr>
                <w:rStyle w:val="Accentuation"/>
                <w:i w:val="0"/>
              </w:rPr>
            </w:pPr>
            <w:r>
              <w:rPr>
                <w:rStyle w:val="Accentuation"/>
                <w:i w:val="0"/>
              </w:rPr>
              <w:t>290 443,00</w:t>
            </w:r>
          </w:p>
        </w:tc>
        <w:tc>
          <w:tcPr>
            <w:tcW w:w="1858" w:type="dxa"/>
          </w:tcPr>
          <w:p w14:paraId="05DD8B76" w14:textId="506A9193" w:rsidR="00560EAC" w:rsidRPr="00126F73" w:rsidRDefault="00560EAC" w:rsidP="00560EAC">
            <w:pPr>
              <w:ind w:right="283"/>
              <w:jc w:val="right"/>
              <w:rPr>
                <w:rStyle w:val="Accentuation"/>
                <w:i w:val="0"/>
              </w:rPr>
            </w:pPr>
            <w:r>
              <w:rPr>
                <w:rStyle w:val="Accentuation"/>
                <w:i w:val="0"/>
              </w:rPr>
              <w:t>304 111,00</w:t>
            </w:r>
          </w:p>
        </w:tc>
      </w:tr>
    </w:tbl>
    <w:p w14:paraId="024621EC" w14:textId="76033F80" w:rsidR="00F57F72" w:rsidRDefault="00F57F72" w:rsidP="000452BB">
      <w:pPr>
        <w:ind w:right="992"/>
        <w:jc w:val="both"/>
        <w:rPr>
          <w:rStyle w:val="Accentuation"/>
          <w:i w:val="0"/>
        </w:rPr>
      </w:pPr>
    </w:p>
    <w:p w14:paraId="75A8179E" w14:textId="71979D51" w:rsidR="000452BB" w:rsidRDefault="000452BB" w:rsidP="000452BB">
      <w:pPr>
        <w:jc w:val="both"/>
        <w:rPr>
          <w:rStyle w:val="Accentuation"/>
          <w:i w:val="0"/>
        </w:rPr>
      </w:pPr>
      <w:r>
        <w:rPr>
          <w:rStyle w:val="Accentuation"/>
          <w:i w:val="0"/>
        </w:rPr>
        <w:t>A noter que nous avons perçu la somme de 29 488 euros par l’Etat au titre du filet de sécurité énergétique pour compenser l’augmentation des dépenses d’énergie ou d’achats alimentaires.</w:t>
      </w:r>
    </w:p>
    <w:p w14:paraId="4E6D22BF" w14:textId="77777777" w:rsidR="00432D62" w:rsidRPr="00126F73" w:rsidRDefault="00432D62" w:rsidP="000452BB">
      <w:pPr>
        <w:ind w:left="993" w:right="992"/>
        <w:jc w:val="both"/>
        <w:rPr>
          <w:rStyle w:val="Accentuation"/>
          <w:i w:val="0"/>
        </w:rPr>
      </w:pPr>
    </w:p>
    <w:p w14:paraId="57900FB5" w14:textId="77777777" w:rsidR="005E0349" w:rsidRPr="000452BB" w:rsidRDefault="005E0349" w:rsidP="00610E29">
      <w:pPr>
        <w:pStyle w:val="Paragraphedeliste"/>
        <w:numPr>
          <w:ilvl w:val="0"/>
          <w:numId w:val="1"/>
        </w:numPr>
        <w:jc w:val="both"/>
        <w:rPr>
          <w:rStyle w:val="Accentuation"/>
          <w:b/>
          <w:i w:val="0"/>
          <w:sz w:val="28"/>
          <w:szCs w:val="28"/>
        </w:rPr>
      </w:pPr>
      <w:r w:rsidRPr="000452BB">
        <w:rPr>
          <w:rStyle w:val="Accentuation"/>
          <w:b/>
          <w:i w:val="0"/>
          <w:sz w:val="28"/>
          <w:szCs w:val="28"/>
        </w:rPr>
        <w:t>La section d’investissement</w:t>
      </w:r>
    </w:p>
    <w:p w14:paraId="4CB77CB4" w14:textId="77777777" w:rsidR="00BD2B82" w:rsidRPr="00126F73" w:rsidRDefault="00BD2B82" w:rsidP="00BD2B82">
      <w:pPr>
        <w:pStyle w:val="Paragraphedeliste"/>
        <w:ind w:left="1080"/>
        <w:jc w:val="both"/>
        <w:rPr>
          <w:rStyle w:val="Accentuation"/>
          <w:b/>
          <w:i w:val="0"/>
        </w:rPr>
      </w:pPr>
    </w:p>
    <w:p w14:paraId="3637F017" w14:textId="77777777" w:rsidR="008B29C0" w:rsidRPr="000452BB" w:rsidRDefault="008B29C0" w:rsidP="00610E29">
      <w:pPr>
        <w:pStyle w:val="Paragraphedeliste"/>
        <w:numPr>
          <w:ilvl w:val="0"/>
          <w:numId w:val="4"/>
        </w:numPr>
        <w:jc w:val="both"/>
        <w:rPr>
          <w:rStyle w:val="Accentuation"/>
          <w:b/>
          <w:bCs/>
          <w:i w:val="0"/>
          <w:u w:val="single"/>
        </w:rPr>
      </w:pPr>
      <w:r w:rsidRPr="000452BB">
        <w:rPr>
          <w:rStyle w:val="Accentuation"/>
          <w:b/>
          <w:bCs/>
          <w:i w:val="0"/>
          <w:u w:val="single"/>
        </w:rPr>
        <w:t>Généralités :</w:t>
      </w:r>
    </w:p>
    <w:p w14:paraId="1B026F02" w14:textId="77777777" w:rsidR="008B29C0" w:rsidRPr="00126F73" w:rsidRDefault="008B29C0" w:rsidP="00610E29">
      <w:pPr>
        <w:jc w:val="both"/>
        <w:rPr>
          <w:rStyle w:val="Accentuation"/>
          <w:i w:val="0"/>
        </w:rPr>
      </w:pPr>
      <w:r w:rsidRPr="00126F73">
        <w:rPr>
          <w:rStyle w:val="Accentuation"/>
          <w:i w:val="0"/>
        </w:rPr>
        <w:t xml:space="preserve">Le budget d’investissement prépare l’avenir. Contrairement à la section de fonctionnement qui implique des notions de récurrence et de quotidienneté, la section d’investissement est liée aux projets de la commune à moyen ou long terme. Elle concerne des actions, dépenses ou recettes, à caractère exceptionnel. </w:t>
      </w:r>
      <w:r w:rsidR="00EE3820">
        <w:rPr>
          <w:rStyle w:val="Accentuation"/>
          <w:i w:val="0"/>
        </w:rPr>
        <w:t>L’investissement</w:t>
      </w:r>
      <w:r w:rsidRPr="00126F73">
        <w:rPr>
          <w:rStyle w:val="Accentuation"/>
          <w:i w:val="0"/>
        </w:rPr>
        <w:t xml:space="preserve"> a trait à tout ce qui contribue à accroître le patrimoine </w:t>
      </w:r>
      <w:r w:rsidR="00EE3820">
        <w:rPr>
          <w:rStyle w:val="Accentuation"/>
          <w:i w:val="0"/>
        </w:rPr>
        <w:t>de la commune</w:t>
      </w:r>
      <w:r w:rsidRPr="00126F73">
        <w:rPr>
          <w:rStyle w:val="Accentuation"/>
          <w:i w:val="0"/>
        </w:rPr>
        <w:t> : achat d’un bien immobilier et travaux sur ce bien, acquisition d’un véhicule…</w:t>
      </w:r>
    </w:p>
    <w:p w14:paraId="47697299" w14:textId="77777777" w:rsidR="008B29C0" w:rsidRPr="00126F73" w:rsidRDefault="008B29C0" w:rsidP="00EE3820">
      <w:pPr>
        <w:rPr>
          <w:rStyle w:val="Accentuation"/>
          <w:i w:val="0"/>
        </w:rPr>
      </w:pPr>
      <w:r w:rsidRPr="00126F73">
        <w:rPr>
          <w:rStyle w:val="Accentuation"/>
          <w:i w:val="0"/>
        </w:rPr>
        <w:t>Le budget d’investissement de la commune regroupe :</w:t>
      </w:r>
    </w:p>
    <w:p w14:paraId="335E2D60" w14:textId="77777777" w:rsidR="008B29C0" w:rsidRPr="00126F73" w:rsidRDefault="008B29C0" w:rsidP="00610E29">
      <w:pPr>
        <w:pStyle w:val="Paragraphedeliste"/>
        <w:numPr>
          <w:ilvl w:val="0"/>
          <w:numId w:val="2"/>
        </w:numPr>
        <w:jc w:val="both"/>
        <w:rPr>
          <w:rStyle w:val="Accentuation"/>
          <w:i w:val="0"/>
        </w:rPr>
      </w:pPr>
      <w:r w:rsidRPr="00126F73">
        <w:rPr>
          <w:rStyle w:val="Accentuation"/>
          <w:i w:val="0"/>
        </w:rPr>
        <w:t>En dépenses : toutes les dépenses faisant varier durablement la valeur ou la consistance du patrimoine de la collectivité. Il s’agit notamment des acquisitions de mobilier, de matériel, d’informatique, de véhicules, de biens immobiliers, d’études et de travaux soit sur des structures déjà existantes, soit sur des structures en cours de création.</w:t>
      </w:r>
    </w:p>
    <w:p w14:paraId="3EFF94E4" w14:textId="607AC434" w:rsidR="008B29C0" w:rsidRDefault="008B29C0" w:rsidP="00610E29">
      <w:pPr>
        <w:pStyle w:val="Paragraphedeliste"/>
        <w:numPr>
          <w:ilvl w:val="0"/>
          <w:numId w:val="2"/>
        </w:numPr>
        <w:jc w:val="both"/>
        <w:rPr>
          <w:rStyle w:val="Accentuation"/>
          <w:i w:val="0"/>
        </w:rPr>
      </w:pPr>
      <w:r w:rsidRPr="00126F73">
        <w:rPr>
          <w:rStyle w:val="Accentuation"/>
          <w:i w:val="0"/>
        </w:rPr>
        <w:t>En recettes : deux types de recettes coexistent : les recettes dites patrimoniales telles que les recettes perçues en lien avec les</w:t>
      </w:r>
      <w:r w:rsidR="00F57F72">
        <w:rPr>
          <w:rStyle w:val="Accentuation"/>
          <w:i w:val="0"/>
        </w:rPr>
        <w:t xml:space="preserve"> permis de construire (taxe d’aménagement) et les subventions d’investissement perçues en lien avec les</w:t>
      </w:r>
      <w:r w:rsidRPr="00126F73">
        <w:rPr>
          <w:rStyle w:val="Accentuation"/>
          <w:i w:val="0"/>
        </w:rPr>
        <w:t xml:space="preserve"> projets d’investissement retenus (par </w:t>
      </w:r>
      <w:r w:rsidRPr="00126F73">
        <w:rPr>
          <w:rStyle w:val="Accentuation"/>
          <w:i w:val="0"/>
        </w:rPr>
        <w:lastRenderedPageBreak/>
        <w:t xml:space="preserve">exemple : des subventions relatives </w:t>
      </w:r>
      <w:r w:rsidR="00592D34">
        <w:rPr>
          <w:rStyle w:val="Accentuation"/>
          <w:i w:val="0"/>
        </w:rPr>
        <w:t>aux nouveaux équipements</w:t>
      </w:r>
      <w:r w:rsidR="008830E7" w:rsidRPr="00126F73">
        <w:rPr>
          <w:rStyle w:val="Accentuation"/>
          <w:i w:val="0"/>
        </w:rPr>
        <w:t>, à la réfection du réseau d’éclairage public…).</w:t>
      </w:r>
    </w:p>
    <w:p w14:paraId="6DFFC093" w14:textId="77777777" w:rsidR="0061371F" w:rsidRDefault="0061371F" w:rsidP="0061371F">
      <w:pPr>
        <w:pStyle w:val="Paragraphedeliste"/>
        <w:jc w:val="both"/>
        <w:rPr>
          <w:rStyle w:val="Accentuation"/>
          <w:i w:val="0"/>
        </w:rPr>
      </w:pPr>
    </w:p>
    <w:p w14:paraId="078BA7C4" w14:textId="1B52FBA5" w:rsidR="0061371F" w:rsidRPr="000452BB" w:rsidRDefault="0061371F" w:rsidP="0061371F">
      <w:pPr>
        <w:pStyle w:val="Paragraphedeliste"/>
        <w:numPr>
          <w:ilvl w:val="0"/>
          <w:numId w:val="4"/>
        </w:numPr>
        <w:jc w:val="both"/>
        <w:rPr>
          <w:rStyle w:val="Accentuation"/>
          <w:b/>
          <w:bCs/>
          <w:i w:val="0"/>
          <w:u w:val="single"/>
        </w:rPr>
      </w:pPr>
      <w:r w:rsidRPr="000452BB">
        <w:rPr>
          <w:rStyle w:val="Accentuation"/>
          <w:b/>
          <w:bCs/>
          <w:i w:val="0"/>
          <w:u w:val="single"/>
        </w:rPr>
        <w:t>Le</w:t>
      </w:r>
      <w:r w:rsidR="00FF16F1" w:rsidRPr="000452BB">
        <w:rPr>
          <w:rStyle w:val="Accentuation"/>
          <w:b/>
          <w:bCs/>
          <w:i w:val="0"/>
          <w:u w:val="single"/>
        </w:rPr>
        <w:t>s principales</w:t>
      </w:r>
      <w:r w:rsidRPr="000452BB">
        <w:rPr>
          <w:rStyle w:val="Accentuation"/>
          <w:b/>
          <w:bCs/>
          <w:i w:val="0"/>
          <w:u w:val="single"/>
        </w:rPr>
        <w:t xml:space="preserve"> </w:t>
      </w:r>
      <w:r w:rsidR="00FF16F1" w:rsidRPr="000452BB">
        <w:rPr>
          <w:rStyle w:val="Accentuation"/>
          <w:b/>
          <w:bCs/>
          <w:i w:val="0"/>
          <w:u w:val="single"/>
        </w:rPr>
        <w:t>réalisations</w:t>
      </w:r>
      <w:r w:rsidRPr="000452BB">
        <w:rPr>
          <w:rStyle w:val="Accentuation"/>
          <w:b/>
          <w:bCs/>
          <w:i w:val="0"/>
          <w:u w:val="single"/>
        </w:rPr>
        <w:t xml:space="preserve"> de l’année </w:t>
      </w:r>
      <w:r w:rsidR="00A07946" w:rsidRPr="000452BB">
        <w:rPr>
          <w:rStyle w:val="Accentuation"/>
          <w:b/>
          <w:bCs/>
          <w:i w:val="0"/>
          <w:u w:val="single"/>
        </w:rPr>
        <w:t>20</w:t>
      </w:r>
      <w:r w:rsidR="005B6F17" w:rsidRPr="000452BB">
        <w:rPr>
          <w:rStyle w:val="Accentuation"/>
          <w:b/>
          <w:bCs/>
          <w:i w:val="0"/>
          <w:u w:val="single"/>
        </w:rPr>
        <w:t>2</w:t>
      </w:r>
      <w:r w:rsidR="00560EAC" w:rsidRPr="000452BB">
        <w:rPr>
          <w:rStyle w:val="Accentuation"/>
          <w:b/>
          <w:bCs/>
          <w:i w:val="0"/>
          <w:u w:val="single"/>
        </w:rPr>
        <w:t>2</w:t>
      </w:r>
      <w:r w:rsidRPr="000452BB">
        <w:rPr>
          <w:rStyle w:val="Accentuation"/>
          <w:b/>
          <w:bCs/>
          <w:i w:val="0"/>
          <w:u w:val="single"/>
        </w:rPr>
        <w:t> :</w:t>
      </w:r>
    </w:p>
    <w:p w14:paraId="13AFAE19" w14:textId="77777777" w:rsidR="0061371F" w:rsidRPr="00126F73" w:rsidRDefault="0061371F" w:rsidP="0061371F">
      <w:pPr>
        <w:pStyle w:val="Paragraphedeliste"/>
        <w:jc w:val="both"/>
        <w:rPr>
          <w:rStyle w:val="Accentuation"/>
          <w:i w:val="0"/>
        </w:rPr>
      </w:pPr>
    </w:p>
    <w:p w14:paraId="55B6A8C8" w14:textId="3A996F8B" w:rsidR="0061371F" w:rsidRPr="00E42AFC" w:rsidRDefault="005B455C" w:rsidP="0061371F">
      <w:pPr>
        <w:pStyle w:val="Paragraphedeliste"/>
        <w:numPr>
          <w:ilvl w:val="0"/>
          <w:numId w:val="2"/>
        </w:numPr>
        <w:jc w:val="both"/>
        <w:rPr>
          <w:rStyle w:val="Accentuation"/>
          <w:i w:val="0"/>
        </w:rPr>
      </w:pPr>
      <w:r w:rsidRPr="00E42AFC">
        <w:rPr>
          <w:rStyle w:val="Accentuation"/>
          <w:i w:val="0"/>
        </w:rPr>
        <w:t>Remplacement du parc informatique des services administratifs de la Mairie</w:t>
      </w:r>
      <w:r w:rsidR="0061371F" w:rsidRPr="00E42AFC">
        <w:rPr>
          <w:rStyle w:val="Accentuation"/>
          <w:i w:val="0"/>
        </w:rPr>
        <w:t xml:space="preserve"> : </w:t>
      </w:r>
      <w:r w:rsidRPr="00E42AFC">
        <w:rPr>
          <w:rStyle w:val="Accentuation"/>
          <w:i w:val="0"/>
        </w:rPr>
        <w:t>15 736</w:t>
      </w:r>
      <w:r w:rsidR="0061371F" w:rsidRPr="00E42AFC">
        <w:rPr>
          <w:rStyle w:val="Accentuation"/>
          <w:i w:val="0"/>
        </w:rPr>
        <w:t xml:space="preserve"> euros</w:t>
      </w:r>
    </w:p>
    <w:p w14:paraId="0D143A44" w14:textId="6188A2D4" w:rsidR="005B455C" w:rsidRPr="00E42AFC" w:rsidRDefault="005B455C" w:rsidP="005B455C">
      <w:pPr>
        <w:pStyle w:val="Paragraphedeliste"/>
        <w:numPr>
          <w:ilvl w:val="0"/>
          <w:numId w:val="2"/>
        </w:numPr>
        <w:jc w:val="both"/>
        <w:rPr>
          <w:rStyle w:val="Accentuation"/>
          <w:i w:val="0"/>
        </w:rPr>
      </w:pPr>
      <w:r w:rsidRPr="00E42AFC">
        <w:rPr>
          <w:rStyle w:val="Accentuation"/>
          <w:i w:val="0"/>
        </w:rPr>
        <w:t xml:space="preserve">Véhicule municipal : </w:t>
      </w:r>
      <w:r w:rsidR="00E42AFC" w:rsidRPr="00E42AFC">
        <w:rPr>
          <w:rStyle w:val="Accentuation"/>
          <w:i w:val="0"/>
        </w:rPr>
        <w:t>18 665</w:t>
      </w:r>
      <w:r w:rsidRPr="00E42AFC">
        <w:rPr>
          <w:rStyle w:val="Accentuation"/>
          <w:i w:val="0"/>
        </w:rPr>
        <w:t xml:space="preserve"> euros</w:t>
      </w:r>
    </w:p>
    <w:p w14:paraId="3477AE91" w14:textId="74478777" w:rsidR="00E42AFC" w:rsidRPr="00E42AFC" w:rsidRDefault="00E42AFC" w:rsidP="0061371F">
      <w:pPr>
        <w:pStyle w:val="Paragraphedeliste"/>
        <w:numPr>
          <w:ilvl w:val="0"/>
          <w:numId w:val="2"/>
        </w:numPr>
        <w:jc w:val="both"/>
        <w:rPr>
          <w:rStyle w:val="Accentuation"/>
          <w:i w:val="0"/>
        </w:rPr>
      </w:pPr>
      <w:r w:rsidRPr="00E42AFC">
        <w:rPr>
          <w:rStyle w:val="Accentuation"/>
          <w:i w:val="0"/>
        </w:rPr>
        <w:t>Acquisition de matériel divers pour la voirie (mobilier urbain, clôture aire de jeu, signalétique…) : 26 940 euros </w:t>
      </w:r>
    </w:p>
    <w:p w14:paraId="2441E8A1" w14:textId="77777777" w:rsidR="00FF7F37" w:rsidRDefault="00D13891" w:rsidP="0061371F">
      <w:pPr>
        <w:pStyle w:val="Paragraphedeliste"/>
        <w:numPr>
          <w:ilvl w:val="0"/>
          <w:numId w:val="2"/>
        </w:numPr>
        <w:jc w:val="both"/>
        <w:rPr>
          <w:rStyle w:val="Accentuation"/>
          <w:i w:val="0"/>
          <w:color w:val="FF0000"/>
        </w:rPr>
      </w:pPr>
      <w:r w:rsidRPr="00FF7F37">
        <w:rPr>
          <w:rStyle w:val="Accentuation"/>
          <w:i w:val="0"/>
        </w:rPr>
        <w:t xml:space="preserve">Travaux de bâtiments : (climatisation mairie, pose de bâche pour l’école maternelle, </w:t>
      </w:r>
      <w:r w:rsidR="00FF7F37" w:rsidRPr="00FF7F37">
        <w:rPr>
          <w:rStyle w:val="Accentuation"/>
          <w:i w:val="0"/>
        </w:rPr>
        <w:t>aménagement</w:t>
      </w:r>
      <w:r w:rsidRPr="00FF7F37">
        <w:rPr>
          <w:rStyle w:val="Accentuation"/>
          <w:i w:val="0"/>
        </w:rPr>
        <w:t xml:space="preserve"> bureau urbanisme, </w:t>
      </w:r>
      <w:r w:rsidR="00FF7F37" w:rsidRPr="00FF7F37">
        <w:rPr>
          <w:rStyle w:val="Accentuation"/>
          <w:i w:val="0"/>
        </w:rPr>
        <w:t>défibrillateur</w:t>
      </w:r>
      <w:r w:rsidRPr="00FF7F37">
        <w:rPr>
          <w:rStyle w:val="Accentuation"/>
          <w:i w:val="0"/>
        </w:rPr>
        <w:t xml:space="preserve"> pour le stade, peinture salle </w:t>
      </w:r>
      <w:r w:rsidR="00FF7F37" w:rsidRPr="00FF7F37">
        <w:rPr>
          <w:rStyle w:val="Accentuation"/>
          <w:i w:val="0"/>
        </w:rPr>
        <w:t>Claude</w:t>
      </w:r>
      <w:r w:rsidRPr="00FF7F37">
        <w:rPr>
          <w:rStyle w:val="Accentuation"/>
          <w:i w:val="0"/>
        </w:rPr>
        <w:t xml:space="preserve"> Debussy, bureau USF, travaux de </w:t>
      </w:r>
      <w:r w:rsidR="00FF7F37" w:rsidRPr="00FF7F37">
        <w:rPr>
          <w:rStyle w:val="Accentuation"/>
          <w:i w:val="0"/>
        </w:rPr>
        <w:t>plâtrerie</w:t>
      </w:r>
      <w:r w:rsidRPr="00FF7F37">
        <w:rPr>
          <w:rStyle w:val="Accentuation"/>
          <w:i w:val="0"/>
        </w:rPr>
        <w:t xml:space="preserve"> pour les ST et l’église, moteur rideau ST, </w:t>
      </w:r>
      <w:r w:rsidR="00FF7F37" w:rsidRPr="00FF7F37">
        <w:rPr>
          <w:rStyle w:val="Accentuation"/>
          <w:i w:val="0"/>
        </w:rPr>
        <w:t>travaux</w:t>
      </w:r>
      <w:r w:rsidRPr="00FF7F37">
        <w:rPr>
          <w:rStyle w:val="Accentuation"/>
          <w:i w:val="0"/>
        </w:rPr>
        <w:t xml:space="preserve"> pour l’atelier poudré</w:t>
      </w:r>
      <w:r w:rsidR="00FF7F37" w:rsidRPr="00FF7F37">
        <w:rPr>
          <w:rStyle w:val="Accentuation"/>
          <w:i w:val="0"/>
        </w:rPr>
        <w:t>, travaux pour le tennis : fermeture de l’accès et réfection de la haie) : 68 746 euros</w:t>
      </w:r>
      <w:r w:rsidRPr="00FF7F37">
        <w:rPr>
          <w:rStyle w:val="Accentuation"/>
          <w:i w:val="0"/>
        </w:rPr>
        <w:t xml:space="preserve"> </w:t>
      </w:r>
    </w:p>
    <w:p w14:paraId="1D0FB84A" w14:textId="77777777" w:rsidR="00FF7F37" w:rsidRPr="00FF7F37" w:rsidRDefault="00FF7F37" w:rsidP="0061371F">
      <w:pPr>
        <w:pStyle w:val="Paragraphedeliste"/>
        <w:numPr>
          <w:ilvl w:val="0"/>
          <w:numId w:val="2"/>
        </w:numPr>
        <w:jc w:val="both"/>
        <w:rPr>
          <w:rStyle w:val="Accentuation"/>
          <w:i w:val="0"/>
        </w:rPr>
      </w:pPr>
      <w:r w:rsidRPr="00FF7F37">
        <w:rPr>
          <w:rStyle w:val="Accentuation"/>
          <w:i w:val="0"/>
        </w:rPr>
        <w:t xml:space="preserve">Travaux d’électrification rurale ( EP passage galerie et parking face à la Mairie, Mat Joshua, chemin piétonnier bornes PIXEL, chemin du lavoir, chemin du bois menu notamment) : 52 017 euros </w:t>
      </w:r>
    </w:p>
    <w:p w14:paraId="311797A7" w14:textId="77777777" w:rsidR="00FF7F37" w:rsidRPr="00FF7F37" w:rsidRDefault="00FF7F37" w:rsidP="0061371F">
      <w:pPr>
        <w:pStyle w:val="Paragraphedeliste"/>
        <w:numPr>
          <w:ilvl w:val="0"/>
          <w:numId w:val="2"/>
        </w:numPr>
        <w:jc w:val="both"/>
        <w:rPr>
          <w:rStyle w:val="Accentuation"/>
          <w:i w:val="0"/>
        </w:rPr>
      </w:pPr>
      <w:r w:rsidRPr="00FF7F37">
        <w:rPr>
          <w:rStyle w:val="Accentuation"/>
          <w:i w:val="0"/>
        </w:rPr>
        <w:t>Maitrise d’œuvre pour l’aménagement du centre bourg : 13 864,50 euros</w:t>
      </w:r>
    </w:p>
    <w:p w14:paraId="00717D9F" w14:textId="15799CC0" w:rsidR="002E414B" w:rsidRPr="00FF7F37" w:rsidRDefault="00FF7F37" w:rsidP="00FF7F37">
      <w:pPr>
        <w:pStyle w:val="Paragraphedeliste"/>
        <w:numPr>
          <w:ilvl w:val="0"/>
          <w:numId w:val="2"/>
        </w:numPr>
        <w:jc w:val="both"/>
        <w:rPr>
          <w:rStyle w:val="Accentuation"/>
          <w:i w:val="0"/>
        </w:rPr>
      </w:pPr>
      <w:r w:rsidRPr="00FF7F37">
        <w:rPr>
          <w:rStyle w:val="Accentuation"/>
          <w:i w:val="0"/>
        </w:rPr>
        <w:t>Travaux de voirie : (chemin des Merlettes, prévention des inondations chemin de Canterane, Création allée au terrain de football…) : 162 742 euros</w:t>
      </w:r>
    </w:p>
    <w:p w14:paraId="14A3CE1D" w14:textId="77777777" w:rsidR="00126F73" w:rsidRDefault="00126F73" w:rsidP="00610E29">
      <w:pPr>
        <w:pStyle w:val="Paragraphedeliste"/>
        <w:jc w:val="both"/>
        <w:rPr>
          <w:rStyle w:val="Accentuation"/>
          <w:i w:val="0"/>
        </w:rPr>
      </w:pPr>
    </w:p>
    <w:p w14:paraId="163789A5" w14:textId="77777777" w:rsidR="00F57F72" w:rsidRDefault="00F57F72" w:rsidP="00610E29">
      <w:pPr>
        <w:pStyle w:val="Paragraphedeliste"/>
        <w:jc w:val="both"/>
        <w:rPr>
          <w:rStyle w:val="Accentuation"/>
          <w:i w:val="0"/>
        </w:rPr>
      </w:pPr>
    </w:p>
    <w:p w14:paraId="6BA84020" w14:textId="77777777" w:rsidR="00F57F72" w:rsidRDefault="00F57F72" w:rsidP="00610E29">
      <w:pPr>
        <w:pStyle w:val="Paragraphedeliste"/>
        <w:jc w:val="both"/>
        <w:rPr>
          <w:rStyle w:val="Accentuation"/>
          <w:i w:val="0"/>
        </w:rPr>
      </w:pPr>
    </w:p>
    <w:p w14:paraId="521A274D" w14:textId="77777777" w:rsidR="008B29C0" w:rsidRPr="000452BB" w:rsidRDefault="008B29C0" w:rsidP="00610E29">
      <w:pPr>
        <w:pStyle w:val="Paragraphedeliste"/>
        <w:numPr>
          <w:ilvl w:val="0"/>
          <w:numId w:val="4"/>
        </w:numPr>
        <w:jc w:val="both"/>
        <w:rPr>
          <w:rStyle w:val="Accentuation"/>
          <w:b/>
          <w:bCs/>
          <w:i w:val="0"/>
          <w:u w:val="single"/>
        </w:rPr>
      </w:pPr>
      <w:r w:rsidRPr="000452BB">
        <w:rPr>
          <w:rStyle w:val="Accentuation"/>
          <w:b/>
          <w:bCs/>
          <w:i w:val="0"/>
          <w:u w:val="single"/>
        </w:rPr>
        <w:t>Une vue d’ensemble de la section d’investissement :</w:t>
      </w:r>
    </w:p>
    <w:p w14:paraId="50628DC3" w14:textId="77777777" w:rsidR="00F57F72" w:rsidRPr="00126F73" w:rsidRDefault="00F57F72" w:rsidP="00F57F72">
      <w:pPr>
        <w:pStyle w:val="Paragraphedeliste"/>
        <w:jc w:val="both"/>
        <w:rPr>
          <w:rStyle w:val="Accentuation"/>
          <w:i w:val="0"/>
        </w:rPr>
      </w:pPr>
    </w:p>
    <w:tbl>
      <w:tblPr>
        <w:tblStyle w:val="Grilledutableau"/>
        <w:tblW w:w="9328" w:type="dxa"/>
        <w:tblLook w:val="04A0" w:firstRow="1" w:lastRow="0" w:firstColumn="1" w:lastColumn="0" w:noHBand="0" w:noVBand="1"/>
      </w:tblPr>
      <w:tblGrid>
        <w:gridCol w:w="2332"/>
        <w:gridCol w:w="2332"/>
        <w:gridCol w:w="2332"/>
        <w:gridCol w:w="2332"/>
      </w:tblGrid>
      <w:tr w:rsidR="008830E7" w:rsidRPr="00126F73" w14:paraId="0389ACC6" w14:textId="77777777" w:rsidTr="00BB57E7">
        <w:trPr>
          <w:trHeight w:val="382"/>
        </w:trPr>
        <w:tc>
          <w:tcPr>
            <w:tcW w:w="2332" w:type="dxa"/>
          </w:tcPr>
          <w:p w14:paraId="6FE5550B" w14:textId="77777777" w:rsidR="008830E7" w:rsidRPr="000E7082" w:rsidRDefault="008830E7" w:rsidP="001B409D">
            <w:pPr>
              <w:jc w:val="center"/>
              <w:rPr>
                <w:rStyle w:val="Accentuation"/>
                <w:b/>
                <w:bCs/>
                <w:i w:val="0"/>
              </w:rPr>
            </w:pPr>
            <w:r w:rsidRPr="000E7082">
              <w:rPr>
                <w:rStyle w:val="Accentuation"/>
                <w:b/>
                <w:bCs/>
                <w:i w:val="0"/>
              </w:rPr>
              <w:t>DEPENSES</w:t>
            </w:r>
          </w:p>
        </w:tc>
        <w:tc>
          <w:tcPr>
            <w:tcW w:w="2332" w:type="dxa"/>
          </w:tcPr>
          <w:p w14:paraId="4BFC73B7" w14:textId="77777777" w:rsidR="008830E7" w:rsidRPr="000E7082" w:rsidRDefault="008830E7" w:rsidP="001B409D">
            <w:pPr>
              <w:jc w:val="center"/>
              <w:rPr>
                <w:rStyle w:val="Accentuation"/>
                <w:b/>
                <w:bCs/>
                <w:i w:val="0"/>
              </w:rPr>
            </w:pPr>
            <w:r w:rsidRPr="000E7082">
              <w:rPr>
                <w:rStyle w:val="Accentuation"/>
                <w:b/>
                <w:bCs/>
                <w:i w:val="0"/>
              </w:rPr>
              <w:t>MONTANT</w:t>
            </w:r>
          </w:p>
        </w:tc>
        <w:tc>
          <w:tcPr>
            <w:tcW w:w="2332" w:type="dxa"/>
          </w:tcPr>
          <w:p w14:paraId="2EF022E6" w14:textId="77777777" w:rsidR="008830E7" w:rsidRPr="000E7082" w:rsidRDefault="008830E7" w:rsidP="001B409D">
            <w:pPr>
              <w:jc w:val="center"/>
              <w:rPr>
                <w:rStyle w:val="Accentuation"/>
                <w:b/>
                <w:bCs/>
                <w:i w:val="0"/>
              </w:rPr>
            </w:pPr>
            <w:r w:rsidRPr="000E7082">
              <w:rPr>
                <w:rStyle w:val="Accentuation"/>
                <w:b/>
                <w:bCs/>
                <w:i w:val="0"/>
              </w:rPr>
              <w:t>RECETTES</w:t>
            </w:r>
          </w:p>
        </w:tc>
        <w:tc>
          <w:tcPr>
            <w:tcW w:w="2332" w:type="dxa"/>
          </w:tcPr>
          <w:p w14:paraId="4D77AF37" w14:textId="77777777" w:rsidR="008830E7" w:rsidRPr="000E7082" w:rsidRDefault="008830E7" w:rsidP="001B409D">
            <w:pPr>
              <w:jc w:val="center"/>
              <w:rPr>
                <w:rStyle w:val="Accentuation"/>
                <w:b/>
                <w:bCs/>
                <w:i w:val="0"/>
              </w:rPr>
            </w:pPr>
            <w:r w:rsidRPr="000E7082">
              <w:rPr>
                <w:rStyle w:val="Accentuation"/>
                <w:b/>
                <w:bCs/>
                <w:i w:val="0"/>
              </w:rPr>
              <w:t>MONTANT</w:t>
            </w:r>
          </w:p>
        </w:tc>
      </w:tr>
      <w:tr w:rsidR="008830E7" w:rsidRPr="00126F73" w14:paraId="1119D5F5" w14:textId="77777777" w:rsidTr="00BB57E7">
        <w:trPr>
          <w:trHeight w:val="358"/>
        </w:trPr>
        <w:tc>
          <w:tcPr>
            <w:tcW w:w="2332" w:type="dxa"/>
          </w:tcPr>
          <w:p w14:paraId="3F6898EE" w14:textId="77777777" w:rsidR="008830E7" w:rsidRPr="00126F73" w:rsidRDefault="008830E7" w:rsidP="00610E29">
            <w:pPr>
              <w:jc w:val="both"/>
              <w:rPr>
                <w:rStyle w:val="Accentuation"/>
                <w:i w:val="0"/>
              </w:rPr>
            </w:pPr>
            <w:r w:rsidRPr="00126F73">
              <w:rPr>
                <w:rStyle w:val="Accentuation"/>
                <w:i w:val="0"/>
              </w:rPr>
              <w:t>Remboursement d’emprunts</w:t>
            </w:r>
          </w:p>
        </w:tc>
        <w:tc>
          <w:tcPr>
            <w:tcW w:w="2332" w:type="dxa"/>
          </w:tcPr>
          <w:p w14:paraId="2ABFB82E" w14:textId="2F1F21CE" w:rsidR="008830E7" w:rsidRPr="00126F73" w:rsidRDefault="00F6171A" w:rsidP="00403359">
            <w:pPr>
              <w:jc w:val="right"/>
              <w:rPr>
                <w:rStyle w:val="Accentuation"/>
                <w:i w:val="0"/>
              </w:rPr>
            </w:pPr>
            <w:r>
              <w:rPr>
                <w:rStyle w:val="Accentuation"/>
                <w:i w:val="0"/>
              </w:rPr>
              <w:t>114 702,68</w:t>
            </w:r>
          </w:p>
        </w:tc>
        <w:tc>
          <w:tcPr>
            <w:tcW w:w="2332" w:type="dxa"/>
          </w:tcPr>
          <w:p w14:paraId="18098EC3" w14:textId="46C2F505" w:rsidR="008830E7" w:rsidRPr="00126F73" w:rsidRDefault="003E0000" w:rsidP="00610E29">
            <w:pPr>
              <w:jc w:val="both"/>
              <w:rPr>
                <w:rStyle w:val="Accentuation"/>
                <w:i w:val="0"/>
              </w:rPr>
            </w:pPr>
            <w:r>
              <w:rPr>
                <w:rStyle w:val="Accentuation"/>
                <w:i w:val="0"/>
              </w:rPr>
              <w:t>Dotations et fonds divers (TA, FCTVV, transfert de Budget assainissement…)</w:t>
            </w:r>
          </w:p>
        </w:tc>
        <w:tc>
          <w:tcPr>
            <w:tcW w:w="2332" w:type="dxa"/>
          </w:tcPr>
          <w:p w14:paraId="41B67E58" w14:textId="5067A2C7" w:rsidR="008830E7" w:rsidRPr="00126F73" w:rsidRDefault="003E0000" w:rsidP="00236D6F">
            <w:pPr>
              <w:jc w:val="right"/>
              <w:rPr>
                <w:rStyle w:val="Accentuation"/>
                <w:i w:val="0"/>
              </w:rPr>
            </w:pPr>
            <w:r>
              <w:rPr>
                <w:rStyle w:val="Accentuation"/>
                <w:i w:val="0"/>
              </w:rPr>
              <w:t>225 042,17</w:t>
            </w:r>
          </w:p>
        </w:tc>
      </w:tr>
      <w:tr w:rsidR="008830E7" w:rsidRPr="00126F73" w14:paraId="2550C9F9" w14:textId="77777777" w:rsidTr="008830E7">
        <w:trPr>
          <w:trHeight w:val="396"/>
        </w:trPr>
        <w:tc>
          <w:tcPr>
            <w:tcW w:w="2332" w:type="dxa"/>
          </w:tcPr>
          <w:p w14:paraId="2731BF45" w14:textId="4CA3650D" w:rsidR="008830E7" w:rsidRPr="00126F73" w:rsidRDefault="00F6171A" w:rsidP="00610E29">
            <w:pPr>
              <w:jc w:val="both"/>
              <w:rPr>
                <w:rStyle w:val="Accentuation"/>
                <w:i w:val="0"/>
              </w:rPr>
            </w:pPr>
            <w:r>
              <w:rPr>
                <w:rStyle w:val="Accentuation"/>
                <w:i w:val="0"/>
              </w:rPr>
              <w:t>Dépenses d’équipement</w:t>
            </w:r>
          </w:p>
        </w:tc>
        <w:tc>
          <w:tcPr>
            <w:tcW w:w="2332" w:type="dxa"/>
          </w:tcPr>
          <w:p w14:paraId="3A837470" w14:textId="1CFA06D6" w:rsidR="008830E7" w:rsidRPr="00126F73" w:rsidRDefault="000E7082" w:rsidP="009C327B">
            <w:pPr>
              <w:jc w:val="right"/>
              <w:rPr>
                <w:rStyle w:val="Accentuation"/>
                <w:i w:val="0"/>
              </w:rPr>
            </w:pPr>
            <w:r>
              <w:rPr>
                <w:rStyle w:val="Accentuation"/>
                <w:i w:val="0"/>
              </w:rPr>
              <w:t>493 042,35</w:t>
            </w:r>
          </w:p>
        </w:tc>
        <w:tc>
          <w:tcPr>
            <w:tcW w:w="2332" w:type="dxa"/>
          </w:tcPr>
          <w:p w14:paraId="6016B345" w14:textId="554E240C" w:rsidR="008830E7" w:rsidRPr="00126F73" w:rsidRDefault="003E0000" w:rsidP="00610E29">
            <w:pPr>
              <w:jc w:val="both"/>
              <w:rPr>
                <w:rStyle w:val="Accentuation"/>
                <w:i w:val="0"/>
              </w:rPr>
            </w:pPr>
            <w:r>
              <w:rPr>
                <w:rStyle w:val="Accentuation"/>
                <w:i w:val="0"/>
              </w:rPr>
              <w:t xml:space="preserve">Excédent de fonctionnement </w:t>
            </w:r>
          </w:p>
        </w:tc>
        <w:tc>
          <w:tcPr>
            <w:tcW w:w="2332" w:type="dxa"/>
          </w:tcPr>
          <w:p w14:paraId="61E83BF3" w14:textId="11D027DA" w:rsidR="008830E7" w:rsidRPr="00126F73" w:rsidRDefault="003E0000" w:rsidP="00E10BAF">
            <w:pPr>
              <w:jc w:val="right"/>
              <w:rPr>
                <w:rStyle w:val="Accentuation"/>
                <w:i w:val="0"/>
              </w:rPr>
            </w:pPr>
            <w:r>
              <w:rPr>
                <w:rStyle w:val="Accentuation"/>
                <w:i w:val="0"/>
              </w:rPr>
              <w:t>125 463,93</w:t>
            </w:r>
          </w:p>
        </w:tc>
      </w:tr>
      <w:tr w:rsidR="003E0000" w:rsidRPr="00126F73" w14:paraId="4AD5863E" w14:textId="77777777" w:rsidTr="00BB57E7">
        <w:trPr>
          <w:trHeight w:val="382"/>
        </w:trPr>
        <w:tc>
          <w:tcPr>
            <w:tcW w:w="2332" w:type="dxa"/>
          </w:tcPr>
          <w:p w14:paraId="27611021" w14:textId="109FC048" w:rsidR="003E0000" w:rsidRPr="00126F73" w:rsidRDefault="003E0000" w:rsidP="003E0000">
            <w:pPr>
              <w:jc w:val="both"/>
              <w:rPr>
                <w:rStyle w:val="Accentuation"/>
                <w:i w:val="0"/>
              </w:rPr>
            </w:pPr>
            <w:r>
              <w:rPr>
                <w:rStyle w:val="Accentuation"/>
                <w:i w:val="0"/>
              </w:rPr>
              <w:t>Taxe d’aménagement</w:t>
            </w:r>
          </w:p>
        </w:tc>
        <w:tc>
          <w:tcPr>
            <w:tcW w:w="2332" w:type="dxa"/>
          </w:tcPr>
          <w:p w14:paraId="51B47E14" w14:textId="5BA04220" w:rsidR="003E0000" w:rsidRPr="00126F73" w:rsidRDefault="003E0000" w:rsidP="003E0000">
            <w:pPr>
              <w:jc w:val="right"/>
              <w:rPr>
                <w:rStyle w:val="Accentuation"/>
                <w:i w:val="0"/>
              </w:rPr>
            </w:pPr>
            <w:r>
              <w:rPr>
                <w:rStyle w:val="Accentuation"/>
                <w:i w:val="0"/>
              </w:rPr>
              <w:t>0,00</w:t>
            </w:r>
          </w:p>
        </w:tc>
        <w:tc>
          <w:tcPr>
            <w:tcW w:w="2332" w:type="dxa"/>
          </w:tcPr>
          <w:p w14:paraId="1455B908" w14:textId="7413C138" w:rsidR="003E0000" w:rsidRPr="00126F73" w:rsidRDefault="000452BB" w:rsidP="003E0000">
            <w:pPr>
              <w:jc w:val="both"/>
              <w:rPr>
                <w:rStyle w:val="Accentuation"/>
                <w:i w:val="0"/>
              </w:rPr>
            </w:pPr>
            <w:r w:rsidRPr="00126F73">
              <w:rPr>
                <w:rStyle w:val="Accentuation"/>
                <w:i w:val="0"/>
              </w:rPr>
              <w:t>Subventions</w:t>
            </w:r>
            <w:r>
              <w:rPr>
                <w:rStyle w:val="Accentuation"/>
                <w:i w:val="0"/>
              </w:rPr>
              <w:t xml:space="preserve"> (</w:t>
            </w:r>
            <w:r w:rsidR="003E0000">
              <w:rPr>
                <w:rStyle w:val="Accentuation"/>
                <w:i w:val="0"/>
              </w:rPr>
              <w:t>FDAEC, voie verte)</w:t>
            </w:r>
          </w:p>
        </w:tc>
        <w:tc>
          <w:tcPr>
            <w:tcW w:w="2332" w:type="dxa"/>
          </w:tcPr>
          <w:p w14:paraId="37A833BC" w14:textId="4BE2E8DB" w:rsidR="003E0000" w:rsidRPr="00126F73" w:rsidRDefault="003E0000" w:rsidP="003E0000">
            <w:pPr>
              <w:jc w:val="right"/>
              <w:rPr>
                <w:rStyle w:val="Accentuation"/>
                <w:i w:val="0"/>
              </w:rPr>
            </w:pPr>
            <w:r>
              <w:rPr>
                <w:rStyle w:val="Accentuation"/>
                <w:i w:val="0"/>
              </w:rPr>
              <w:t>34 649,50</w:t>
            </w:r>
          </w:p>
        </w:tc>
      </w:tr>
      <w:tr w:rsidR="003E0000" w:rsidRPr="00126F73" w14:paraId="539C147F" w14:textId="77777777" w:rsidTr="008830E7">
        <w:trPr>
          <w:trHeight w:val="358"/>
        </w:trPr>
        <w:tc>
          <w:tcPr>
            <w:tcW w:w="2332" w:type="dxa"/>
          </w:tcPr>
          <w:p w14:paraId="520C2B0D" w14:textId="2E15B9C4" w:rsidR="003E0000" w:rsidRPr="000C116F" w:rsidRDefault="003E0000" w:rsidP="003E0000">
            <w:pPr>
              <w:jc w:val="both"/>
              <w:rPr>
                <w:rStyle w:val="Accentuation"/>
                <w:i w:val="0"/>
              </w:rPr>
            </w:pPr>
            <w:r w:rsidRPr="00126F73">
              <w:rPr>
                <w:rStyle w:val="Accentuation"/>
                <w:i w:val="0"/>
              </w:rPr>
              <w:t>Charges (écritures d’ordre entre sections)</w:t>
            </w:r>
          </w:p>
        </w:tc>
        <w:tc>
          <w:tcPr>
            <w:tcW w:w="2332" w:type="dxa"/>
          </w:tcPr>
          <w:p w14:paraId="41068CB1" w14:textId="12845C83" w:rsidR="003E0000" w:rsidRPr="00126F73" w:rsidRDefault="003E0000" w:rsidP="003E0000">
            <w:pPr>
              <w:jc w:val="right"/>
              <w:rPr>
                <w:rStyle w:val="Accentuation"/>
                <w:i w:val="0"/>
              </w:rPr>
            </w:pPr>
            <w:r>
              <w:rPr>
                <w:rStyle w:val="Accentuation"/>
                <w:i w:val="0"/>
              </w:rPr>
              <w:t>0,00</w:t>
            </w:r>
          </w:p>
        </w:tc>
        <w:tc>
          <w:tcPr>
            <w:tcW w:w="2332" w:type="dxa"/>
          </w:tcPr>
          <w:p w14:paraId="33503878" w14:textId="5EB5FB8C" w:rsidR="003E0000" w:rsidRPr="00126F73" w:rsidRDefault="003E0000" w:rsidP="003E0000">
            <w:pPr>
              <w:jc w:val="both"/>
              <w:rPr>
                <w:rStyle w:val="Accentuation"/>
                <w:i w:val="0"/>
              </w:rPr>
            </w:pPr>
            <w:r>
              <w:rPr>
                <w:rStyle w:val="Accentuation"/>
                <w:i w:val="0"/>
              </w:rPr>
              <w:t>Opérations d’ordre entre section</w:t>
            </w:r>
          </w:p>
        </w:tc>
        <w:tc>
          <w:tcPr>
            <w:tcW w:w="2332" w:type="dxa"/>
          </w:tcPr>
          <w:p w14:paraId="27932917" w14:textId="7599AF82" w:rsidR="003E0000" w:rsidRPr="00126F73" w:rsidRDefault="003E0000" w:rsidP="003E0000">
            <w:pPr>
              <w:jc w:val="right"/>
              <w:rPr>
                <w:rStyle w:val="Accentuation"/>
                <w:i w:val="0"/>
              </w:rPr>
            </w:pPr>
            <w:r>
              <w:rPr>
                <w:rStyle w:val="Accentuation"/>
                <w:i w:val="0"/>
              </w:rPr>
              <w:t>61 714,94</w:t>
            </w:r>
          </w:p>
        </w:tc>
      </w:tr>
      <w:tr w:rsidR="003E0000" w:rsidRPr="00126F73" w14:paraId="4A16FF12" w14:textId="77777777" w:rsidTr="000E7082">
        <w:trPr>
          <w:trHeight w:val="1166"/>
        </w:trPr>
        <w:tc>
          <w:tcPr>
            <w:tcW w:w="2332" w:type="dxa"/>
          </w:tcPr>
          <w:p w14:paraId="25CB2E5F" w14:textId="7ADDCBED" w:rsidR="003E0000" w:rsidRPr="000E7082" w:rsidRDefault="003E0000" w:rsidP="003E0000">
            <w:pPr>
              <w:jc w:val="both"/>
              <w:rPr>
                <w:rStyle w:val="Accentuation"/>
                <w:i w:val="0"/>
              </w:rPr>
            </w:pPr>
            <w:r w:rsidRPr="000E7082">
              <w:rPr>
                <w:rStyle w:val="Accentuation"/>
                <w:i w:val="0"/>
              </w:rPr>
              <w:t>Opérations patrimoniales (constatation de la dette à l’égard du SDIS)</w:t>
            </w:r>
          </w:p>
        </w:tc>
        <w:tc>
          <w:tcPr>
            <w:tcW w:w="2332" w:type="dxa"/>
          </w:tcPr>
          <w:p w14:paraId="7EBEAB01" w14:textId="29E54819" w:rsidR="003E0000" w:rsidRPr="000E7082" w:rsidRDefault="003E0000" w:rsidP="003E0000">
            <w:pPr>
              <w:jc w:val="right"/>
              <w:rPr>
                <w:rStyle w:val="Accentuation"/>
                <w:i w:val="0"/>
              </w:rPr>
            </w:pPr>
            <w:r w:rsidRPr="000E7082">
              <w:rPr>
                <w:rStyle w:val="Accentuation"/>
                <w:i w:val="0"/>
              </w:rPr>
              <w:t>157 628,00</w:t>
            </w:r>
          </w:p>
        </w:tc>
        <w:tc>
          <w:tcPr>
            <w:tcW w:w="2332" w:type="dxa"/>
          </w:tcPr>
          <w:p w14:paraId="73B343EA" w14:textId="2CB50852" w:rsidR="003E0000" w:rsidRPr="00126F73" w:rsidRDefault="003E0000" w:rsidP="003E0000">
            <w:pPr>
              <w:jc w:val="both"/>
              <w:rPr>
                <w:rStyle w:val="Accentuation"/>
                <w:i w:val="0"/>
              </w:rPr>
            </w:pPr>
            <w:r w:rsidRPr="000E7082">
              <w:rPr>
                <w:rStyle w:val="Accentuation"/>
                <w:i w:val="0"/>
              </w:rPr>
              <w:t>Opérations patrimoniales (constatation de la dette à l’égard du SDIS)</w:t>
            </w:r>
          </w:p>
        </w:tc>
        <w:tc>
          <w:tcPr>
            <w:tcW w:w="2332" w:type="dxa"/>
          </w:tcPr>
          <w:p w14:paraId="3F416045" w14:textId="380CFB4B" w:rsidR="003E0000" w:rsidRDefault="003E0000" w:rsidP="003E0000">
            <w:pPr>
              <w:jc w:val="right"/>
              <w:rPr>
                <w:rStyle w:val="Accentuation"/>
                <w:i w:val="0"/>
              </w:rPr>
            </w:pPr>
            <w:r w:rsidRPr="000E7082">
              <w:rPr>
                <w:rStyle w:val="Accentuation"/>
                <w:i w:val="0"/>
              </w:rPr>
              <w:t>157 628,00</w:t>
            </w:r>
          </w:p>
        </w:tc>
      </w:tr>
      <w:tr w:rsidR="003E0000" w:rsidRPr="00126F73" w14:paraId="6A0531F1" w14:textId="77777777" w:rsidTr="00BB57E7">
        <w:trPr>
          <w:trHeight w:val="358"/>
        </w:trPr>
        <w:tc>
          <w:tcPr>
            <w:tcW w:w="2332" w:type="dxa"/>
          </w:tcPr>
          <w:p w14:paraId="6F4444BB" w14:textId="151C082C" w:rsidR="003E0000" w:rsidRPr="00126F73" w:rsidRDefault="003E0000" w:rsidP="003E0000">
            <w:pPr>
              <w:jc w:val="both"/>
              <w:rPr>
                <w:rStyle w:val="Accentuation"/>
                <w:i w:val="0"/>
              </w:rPr>
            </w:pPr>
          </w:p>
        </w:tc>
        <w:tc>
          <w:tcPr>
            <w:tcW w:w="2332" w:type="dxa"/>
          </w:tcPr>
          <w:p w14:paraId="290DA90E" w14:textId="1A324209" w:rsidR="003E0000" w:rsidRPr="00126F73" w:rsidRDefault="003E0000" w:rsidP="003E0000">
            <w:pPr>
              <w:jc w:val="right"/>
              <w:rPr>
                <w:rStyle w:val="Accentuation"/>
                <w:i w:val="0"/>
              </w:rPr>
            </w:pPr>
          </w:p>
        </w:tc>
        <w:tc>
          <w:tcPr>
            <w:tcW w:w="2332" w:type="dxa"/>
          </w:tcPr>
          <w:p w14:paraId="0C1B3FF4" w14:textId="47AD8DC4" w:rsidR="003E0000" w:rsidRPr="00126F73" w:rsidRDefault="003E0000" w:rsidP="003E0000">
            <w:pPr>
              <w:jc w:val="both"/>
              <w:rPr>
                <w:rStyle w:val="Accentuation"/>
                <w:i w:val="0"/>
              </w:rPr>
            </w:pPr>
            <w:r w:rsidRPr="00126F73">
              <w:rPr>
                <w:rStyle w:val="Accentuation"/>
                <w:i w:val="0"/>
              </w:rPr>
              <w:t>Emprunt</w:t>
            </w:r>
          </w:p>
        </w:tc>
        <w:tc>
          <w:tcPr>
            <w:tcW w:w="2332" w:type="dxa"/>
          </w:tcPr>
          <w:p w14:paraId="0C711A28" w14:textId="4C9B5D30" w:rsidR="003E0000" w:rsidRPr="00126F73" w:rsidRDefault="003E0000" w:rsidP="003E0000">
            <w:pPr>
              <w:jc w:val="right"/>
              <w:rPr>
                <w:rStyle w:val="Accentuation"/>
                <w:i w:val="0"/>
              </w:rPr>
            </w:pPr>
            <w:r>
              <w:rPr>
                <w:rStyle w:val="Accentuation"/>
                <w:i w:val="0"/>
              </w:rPr>
              <w:t>0,00</w:t>
            </w:r>
          </w:p>
        </w:tc>
      </w:tr>
      <w:tr w:rsidR="003E0000" w:rsidRPr="00126F73" w14:paraId="60FB5473" w14:textId="77777777" w:rsidTr="00BB57E7">
        <w:trPr>
          <w:trHeight w:val="205"/>
        </w:trPr>
        <w:tc>
          <w:tcPr>
            <w:tcW w:w="2332" w:type="dxa"/>
          </w:tcPr>
          <w:p w14:paraId="6DB2C92B" w14:textId="77777777" w:rsidR="003E0000" w:rsidRPr="00236D6F" w:rsidRDefault="003E0000" w:rsidP="003E0000">
            <w:pPr>
              <w:jc w:val="both"/>
              <w:rPr>
                <w:rStyle w:val="Accentuation"/>
                <w:b/>
                <w:i w:val="0"/>
              </w:rPr>
            </w:pPr>
            <w:r w:rsidRPr="00236D6F">
              <w:rPr>
                <w:rStyle w:val="Accentuation"/>
                <w:b/>
                <w:i w:val="0"/>
              </w:rPr>
              <w:t>TOTAL GENERAL</w:t>
            </w:r>
          </w:p>
        </w:tc>
        <w:tc>
          <w:tcPr>
            <w:tcW w:w="2332" w:type="dxa"/>
          </w:tcPr>
          <w:p w14:paraId="7EDC6343" w14:textId="27EAE7A7" w:rsidR="003E0000" w:rsidRPr="00236D6F" w:rsidRDefault="003E0000" w:rsidP="003E0000">
            <w:pPr>
              <w:jc w:val="right"/>
              <w:rPr>
                <w:rStyle w:val="Accentuation"/>
                <w:b/>
                <w:i w:val="0"/>
              </w:rPr>
            </w:pPr>
            <w:r>
              <w:rPr>
                <w:rStyle w:val="Accentuation"/>
                <w:b/>
                <w:i w:val="0"/>
              </w:rPr>
              <w:t>765 373,03</w:t>
            </w:r>
          </w:p>
        </w:tc>
        <w:tc>
          <w:tcPr>
            <w:tcW w:w="2332" w:type="dxa"/>
          </w:tcPr>
          <w:p w14:paraId="67D9103A" w14:textId="77777777" w:rsidR="003E0000" w:rsidRPr="00236D6F" w:rsidRDefault="003E0000" w:rsidP="003E0000">
            <w:pPr>
              <w:jc w:val="both"/>
              <w:rPr>
                <w:rStyle w:val="Accentuation"/>
                <w:b/>
                <w:i w:val="0"/>
              </w:rPr>
            </w:pPr>
            <w:r w:rsidRPr="00236D6F">
              <w:rPr>
                <w:rStyle w:val="Accentuation"/>
                <w:b/>
                <w:i w:val="0"/>
              </w:rPr>
              <w:t>TOTAL GENERAL</w:t>
            </w:r>
          </w:p>
        </w:tc>
        <w:tc>
          <w:tcPr>
            <w:tcW w:w="2332" w:type="dxa"/>
          </w:tcPr>
          <w:p w14:paraId="0D5069E6" w14:textId="25F7732E" w:rsidR="003E0000" w:rsidRPr="00236D6F" w:rsidRDefault="003E0000" w:rsidP="003E0000">
            <w:pPr>
              <w:jc w:val="right"/>
              <w:rPr>
                <w:rStyle w:val="Accentuation"/>
                <w:b/>
                <w:i w:val="0"/>
              </w:rPr>
            </w:pPr>
            <w:r>
              <w:rPr>
                <w:rStyle w:val="Accentuation"/>
                <w:b/>
                <w:i w:val="0"/>
              </w:rPr>
              <w:t>604 798,54</w:t>
            </w:r>
          </w:p>
        </w:tc>
      </w:tr>
    </w:tbl>
    <w:p w14:paraId="24E3ACF3" w14:textId="77777777" w:rsidR="008830E7" w:rsidRDefault="008830E7" w:rsidP="00610E29">
      <w:pPr>
        <w:jc w:val="both"/>
        <w:rPr>
          <w:rStyle w:val="Accentuation"/>
          <w:i w:val="0"/>
        </w:rPr>
      </w:pPr>
    </w:p>
    <w:p w14:paraId="4D6EB2B4" w14:textId="34E86D8B" w:rsidR="00236D6F" w:rsidRDefault="00236D6F" w:rsidP="00610E29">
      <w:pPr>
        <w:jc w:val="both"/>
      </w:pPr>
      <w:r>
        <w:t xml:space="preserve">Les dépenses </w:t>
      </w:r>
      <w:r w:rsidR="002919DD">
        <w:t>d’investissement 20</w:t>
      </w:r>
      <w:r w:rsidR="0000648C">
        <w:t>2</w:t>
      </w:r>
      <w:r w:rsidR="003E0000">
        <w:t>2</w:t>
      </w:r>
      <w:r>
        <w:t xml:space="preserve"> </w:t>
      </w:r>
      <w:r w:rsidR="002919DD">
        <w:t>s’élèvent à</w:t>
      </w:r>
      <w:r>
        <w:t xml:space="preserve"> </w:t>
      </w:r>
      <w:r w:rsidR="003E0000">
        <w:t>765 373,03</w:t>
      </w:r>
      <w:r>
        <w:t xml:space="preserve"> euros.</w:t>
      </w:r>
    </w:p>
    <w:p w14:paraId="53BF2C0F" w14:textId="77777777" w:rsidR="000452BB" w:rsidRDefault="000452BB" w:rsidP="00610E29">
      <w:pPr>
        <w:jc w:val="both"/>
      </w:pPr>
    </w:p>
    <w:p w14:paraId="2ACA87B9" w14:textId="1E207CE8" w:rsidR="00236D6F" w:rsidRDefault="00236D6F" w:rsidP="00610E29">
      <w:pPr>
        <w:jc w:val="both"/>
      </w:pPr>
      <w:r>
        <w:lastRenderedPageBreak/>
        <w:t>Le</w:t>
      </w:r>
      <w:r w:rsidR="00D92C03">
        <w:t>s recettes d’investissement 20</w:t>
      </w:r>
      <w:r w:rsidR="0000648C">
        <w:t>2</w:t>
      </w:r>
      <w:r w:rsidR="003E0000">
        <w:t>2</w:t>
      </w:r>
      <w:r>
        <w:t xml:space="preserve"> représentent </w:t>
      </w:r>
      <w:r w:rsidR="003E0000">
        <w:t>604 798,54</w:t>
      </w:r>
      <w:r>
        <w:t xml:space="preserve"> euros</w:t>
      </w:r>
      <w:r w:rsidR="003E0000">
        <w:t xml:space="preserve">. Le déficit d’investissement sera compensé par le versement d’une partie </w:t>
      </w:r>
      <w:r w:rsidR="00375FA3">
        <w:t>de l’excédent d’investissement reporté qui s’élevait à 234 151,30 euros.</w:t>
      </w:r>
    </w:p>
    <w:p w14:paraId="5F6480FC" w14:textId="2820AFF3" w:rsidR="005941EB" w:rsidRDefault="005941EB" w:rsidP="00610E29">
      <w:pPr>
        <w:jc w:val="both"/>
      </w:pPr>
      <w:r>
        <w:rPr>
          <w:noProof/>
        </w:rPr>
        <w:drawing>
          <wp:inline distT="0" distB="0" distL="0" distR="0" wp14:anchorId="090ABB52" wp14:editId="5546F208">
            <wp:extent cx="4572000" cy="2743200"/>
            <wp:effectExtent l="0" t="0" r="0" b="0"/>
            <wp:docPr id="3" name="Graphique 3">
              <a:extLst xmlns:a="http://schemas.openxmlformats.org/drawingml/2006/main">
                <a:ext uri="{FF2B5EF4-FFF2-40B4-BE49-F238E27FC236}">
                  <a16:creationId xmlns:a16="http://schemas.microsoft.com/office/drawing/2014/main" id="{C782E4E7-8239-FBBA-F89E-A086A95A2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C58000" w14:textId="3ADEBDDC" w:rsidR="00236D6F" w:rsidRDefault="00236D6F" w:rsidP="00610E29">
      <w:pPr>
        <w:jc w:val="both"/>
      </w:pPr>
      <w:r>
        <w:t>Les</w:t>
      </w:r>
      <w:r w:rsidR="00E55A9B">
        <w:t xml:space="preserve"> crédits inscrits au budget 20</w:t>
      </w:r>
      <w:r w:rsidR="0000648C">
        <w:t>2</w:t>
      </w:r>
      <w:r w:rsidR="00375FA3">
        <w:t>2</w:t>
      </w:r>
      <w:r>
        <w:t xml:space="preserve"> engagés dans la com</w:t>
      </w:r>
      <w:r w:rsidR="00E55A9B">
        <w:t>ptabilité mais non payés en 20</w:t>
      </w:r>
      <w:r w:rsidR="0000648C">
        <w:t>2</w:t>
      </w:r>
      <w:r w:rsidR="00375FA3">
        <w:t>2</w:t>
      </w:r>
      <w:r>
        <w:t xml:space="preserve"> sont distingués dans le compte administratif dans une colonne « restes à réaliser »</w:t>
      </w:r>
      <w:r w:rsidR="008D57F4">
        <w:t xml:space="preserve"> (RAR)</w:t>
      </w:r>
      <w:r>
        <w:t xml:space="preserve">. Ainsi </w:t>
      </w:r>
      <w:r w:rsidR="00375FA3">
        <w:t>148 117</w:t>
      </w:r>
      <w:r>
        <w:t xml:space="preserve"> euros de travaux et ac</w:t>
      </w:r>
      <w:r w:rsidR="00E55A9B">
        <w:t>quisitions sont reportés de 20</w:t>
      </w:r>
      <w:r w:rsidR="0000648C">
        <w:t>2</w:t>
      </w:r>
      <w:r w:rsidR="00375FA3">
        <w:t>2</w:t>
      </w:r>
      <w:r w:rsidR="00E55A9B">
        <w:t xml:space="preserve"> sur 202</w:t>
      </w:r>
      <w:r w:rsidR="00375FA3">
        <w:t>3 (175 727 euros de dépenses et 27 610 euros de recettes)</w:t>
      </w:r>
      <w:r>
        <w:t xml:space="preserve">. </w:t>
      </w:r>
    </w:p>
    <w:p w14:paraId="51CC57E4" w14:textId="69CA4FE1" w:rsidR="00236D6F" w:rsidRDefault="00A23170" w:rsidP="00610E29">
      <w:pPr>
        <w:jc w:val="both"/>
      </w:pPr>
      <w:r>
        <w:t>Par ailleurs, une autorisation a été donnée au Maire pour engager, liquider et mandater les dépenses d’investissement dans la limite du quart des crédits inscrits sur le budget. En 202</w:t>
      </w:r>
      <w:r w:rsidR="00375FA3">
        <w:t>2</w:t>
      </w:r>
      <w:r>
        <w:t xml:space="preserve"> ce montant s’élève à </w:t>
      </w:r>
      <w:r w:rsidR="00375FA3">
        <w:t>85 233,33</w:t>
      </w:r>
      <w:r>
        <w:t xml:space="preserve"> euros. </w:t>
      </w:r>
      <w:r w:rsidR="00236D6F">
        <w:t xml:space="preserve">Ces crédits </w:t>
      </w:r>
      <w:r w:rsidR="00375FA3">
        <w:t>ont permis</w:t>
      </w:r>
      <w:r w:rsidR="00236D6F">
        <w:t xml:space="preserve"> le démarrage de travaux </w:t>
      </w:r>
      <w:r w:rsidR="00E55A9B">
        <w:t>en début d’année 202</w:t>
      </w:r>
      <w:r w:rsidR="00375FA3">
        <w:t>3</w:t>
      </w:r>
      <w:r w:rsidR="00236D6F">
        <w:t>, sans attendre le vote du budget.</w:t>
      </w:r>
    </w:p>
    <w:p w14:paraId="453071C7" w14:textId="77777777" w:rsidR="00E14F96" w:rsidRDefault="00E14F96" w:rsidP="00610E29">
      <w:pPr>
        <w:ind w:left="360"/>
        <w:jc w:val="both"/>
      </w:pPr>
    </w:p>
    <w:p w14:paraId="6E89C7AA" w14:textId="402C6BC1" w:rsidR="00A25398" w:rsidRDefault="00946CE0" w:rsidP="00E14F96">
      <w:pPr>
        <w:ind w:left="360"/>
        <w:jc w:val="both"/>
      </w:pPr>
      <w:r w:rsidRPr="00126F73">
        <w:t xml:space="preserve">Fait à Fargues Saint-Hilaire, le </w:t>
      </w:r>
      <w:r w:rsidR="00A01EA9">
        <w:t>14</w:t>
      </w:r>
      <w:r w:rsidRPr="00126F73">
        <w:t xml:space="preserve"> </w:t>
      </w:r>
      <w:r w:rsidR="004E0BD3">
        <w:t>mars 202</w:t>
      </w:r>
      <w:r w:rsidR="00A01EA9">
        <w:t>3</w:t>
      </w:r>
      <w:r w:rsidR="007807C2">
        <w:t>.</w:t>
      </w:r>
    </w:p>
    <w:p w14:paraId="36BDC5EF" w14:textId="77777777" w:rsidR="00BD2B82" w:rsidRPr="00126F73" w:rsidRDefault="00BD2B82" w:rsidP="00E14F96">
      <w:pPr>
        <w:ind w:left="360"/>
        <w:jc w:val="both"/>
      </w:pPr>
    </w:p>
    <w:p w14:paraId="295F415C" w14:textId="77777777" w:rsidR="00946CE0" w:rsidRPr="00126F73" w:rsidRDefault="00946CE0" w:rsidP="00A25398">
      <w:pPr>
        <w:spacing w:after="0" w:line="240" w:lineRule="auto"/>
        <w:ind w:left="3828"/>
        <w:jc w:val="center"/>
      </w:pPr>
      <w:r w:rsidRPr="00126F73">
        <w:t>Bertrand GAUTIER,</w:t>
      </w:r>
    </w:p>
    <w:p w14:paraId="465B309A" w14:textId="77777777" w:rsidR="00946CE0" w:rsidRDefault="00946CE0" w:rsidP="00A25398">
      <w:pPr>
        <w:spacing w:after="0" w:line="240" w:lineRule="auto"/>
        <w:ind w:left="3828"/>
        <w:jc w:val="center"/>
      </w:pPr>
      <w:r w:rsidRPr="00126F73">
        <w:t>M</w:t>
      </w:r>
      <w:r w:rsidR="00A25398" w:rsidRPr="00126F73">
        <w:t>aire de Fargues Saint-Hilaire</w:t>
      </w:r>
    </w:p>
    <w:p w14:paraId="3364570B" w14:textId="77777777" w:rsidR="00610E29" w:rsidRPr="00126F73" w:rsidRDefault="00610E29" w:rsidP="00632932">
      <w:pPr>
        <w:jc w:val="both"/>
      </w:pPr>
    </w:p>
    <w:sectPr w:rsidR="00610E29" w:rsidRPr="00126F73" w:rsidSect="00E14F96">
      <w:footerReference w:type="default" r:id="rId13"/>
      <w:pgSz w:w="11906" w:h="16838"/>
      <w:pgMar w:top="851"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1AE4" w14:textId="77777777" w:rsidR="0007320D" w:rsidRDefault="0007320D" w:rsidP="00E14F96">
      <w:pPr>
        <w:spacing w:after="0" w:line="240" w:lineRule="auto"/>
      </w:pPr>
      <w:r>
        <w:separator/>
      </w:r>
    </w:p>
  </w:endnote>
  <w:endnote w:type="continuationSeparator" w:id="0">
    <w:p w14:paraId="5032FEEC" w14:textId="77777777" w:rsidR="0007320D" w:rsidRDefault="0007320D" w:rsidP="00E1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83881"/>
      <w:docPartObj>
        <w:docPartGallery w:val="Page Numbers (Bottom of Page)"/>
        <w:docPartUnique/>
      </w:docPartObj>
    </w:sdtPr>
    <w:sdtEndPr/>
    <w:sdtContent>
      <w:p w14:paraId="46937D37" w14:textId="77777777" w:rsidR="00E14F96" w:rsidRDefault="00E14F96">
        <w:pPr>
          <w:pStyle w:val="Pieddepage"/>
          <w:jc w:val="right"/>
        </w:pPr>
        <w:r>
          <w:fldChar w:fldCharType="begin"/>
        </w:r>
        <w:r>
          <w:instrText>PAGE   \* MERGEFORMAT</w:instrText>
        </w:r>
        <w:r>
          <w:fldChar w:fldCharType="separate"/>
        </w:r>
        <w:r w:rsidR="004E0BD3">
          <w:rPr>
            <w:noProof/>
          </w:rPr>
          <w:t>- 2 -</w:t>
        </w:r>
        <w:r>
          <w:fldChar w:fldCharType="end"/>
        </w:r>
      </w:p>
    </w:sdtContent>
  </w:sdt>
  <w:p w14:paraId="23378F22" w14:textId="77777777" w:rsidR="00E14F96" w:rsidRDefault="00E14F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E647" w14:textId="77777777" w:rsidR="0007320D" w:rsidRDefault="0007320D" w:rsidP="00E14F96">
      <w:pPr>
        <w:spacing w:after="0" w:line="240" w:lineRule="auto"/>
      </w:pPr>
      <w:r>
        <w:separator/>
      </w:r>
    </w:p>
  </w:footnote>
  <w:footnote w:type="continuationSeparator" w:id="0">
    <w:p w14:paraId="79D0DE81" w14:textId="77777777" w:rsidR="0007320D" w:rsidRDefault="0007320D" w:rsidP="00E1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7DE"/>
    <w:multiLevelType w:val="hybridMultilevel"/>
    <w:tmpl w:val="CAEAF660"/>
    <w:lvl w:ilvl="0" w:tplc="7B889E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41959"/>
    <w:multiLevelType w:val="hybridMultilevel"/>
    <w:tmpl w:val="CFEE9E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857BD8"/>
    <w:multiLevelType w:val="hybridMultilevel"/>
    <w:tmpl w:val="F0D6DE44"/>
    <w:lvl w:ilvl="0" w:tplc="F668896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47FB7"/>
    <w:multiLevelType w:val="hybridMultilevel"/>
    <w:tmpl w:val="39EEC15C"/>
    <w:lvl w:ilvl="0" w:tplc="C5C0DDC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4353082D"/>
    <w:multiLevelType w:val="hybridMultilevel"/>
    <w:tmpl w:val="95B4AD84"/>
    <w:lvl w:ilvl="0" w:tplc="1406A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9F0333"/>
    <w:multiLevelType w:val="hybridMultilevel"/>
    <w:tmpl w:val="ACB04F80"/>
    <w:lvl w:ilvl="0" w:tplc="A5064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176810"/>
    <w:multiLevelType w:val="hybridMultilevel"/>
    <w:tmpl w:val="EECED5FA"/>
    <w:lvl w:ilvl="0" w:tplc="EF5E79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54447B"/>
    <w:multiLevelType w:val="hybridMultilevel"/>
    <w:tmpl w:val="040231A4"/>
    <w:lvl w:ilvl="0" w:tplc="040C0017">
      <w:start w:val="1"/>
      <w:numFmt w:val="lowerLetter"/>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9B68F6"/>
    <w:multiLevelType w:val="hybridMultilevel"/>
    <w:tmpl w:val="85A20168"/>
    <w:lvl w:ilvl="0" w:tplc="95D82B7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6FD217E2"/>
    <w:multiLevelType w:val="hybridMultilevel"/>
    <w:tmpl w:val="8A94FBBA"/>
    <w:lvl w:ilvl="0" w:tplc="AD506E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319459378">
    <w:abstractNumId w:val="6"/>
  </w:num>
  <w:num w:numId="2" w16cid:durableId="2008707419">
    <w:abstractNumId w:val="2"/>
  </w:num>
  <w:num w:numId="3" w16cid:durableId="1481994300">
    <w:abstractNumId w:val="8"/>
  </w:num>
  <w:num w:numId="4" w16cid:durableId="110126357">
    <w:abstractNumId w:val="7"/>
  </w:num>
  <w:num w:numId="5" w16cid:durableId="1715929855">
    <w:abstractNumId w:val="1"/>
  </w:num>
  <w:num w:numId="6" w16cid:durableId="1403335117">
    <w:abstractNumId w:val="5"/>
  </w:num>
  <w:num w:numId="7" w16cid:durableId="409281249">
    <w:abstractNumId w:val="4"/>
  </w:num>
  <w:num w:numId="8" w16cid:durableId="667903156">
    <w:abstractNumId w:val="9"/>
  </w:num>
  <w:num w:numId="9" w16cid:durableId="1341851520">
    <w:abstractNumId w:val="0"/>
  </w:num>
  <w:num w:numId="10" w16cid:durableId="108082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80"/>
    <w:rsid w:val="00002102"/>
    <w:rsid w:val="0000648C"/>
    <w:rsid w:val="0002123C"/>
    <w:rsid w:val="00022E5F"/>
    <w:rsid w:val="00042E3E"/>
    <w:rsid w:val="000452BB"/>
    <w:rsid w:val="000728D1"/>
    <w:rsid w:val="0007320D"/>
    <w:rsid w:val="00094FA4"/>
    <w:rsid w:val="000A29DE"/>
    <w:rsid w:val="000A4149"/>
    <w:rsid w:val="000B2044"/>
    <w:rsid w:val="000C116F"/>
    <w:rsid w:val="000E7082"/>
    <w:rsid w:val="00126F73"/>
    <w:rsid w:val="001422F8"/>
    <w:rsid w:val="00145594"/>
    <w:rsid w:val="00150170"/>
    <w:rsid w:val="00170311"/>
    <w:rsid w:val="00182229"/>
    <w:rsid w:val="00185C0B"/>
    <w:rsid w:val="001A5A50"/>
    <w:rsid w:val="001B409D"/>
    <w:rsid w:val="001D4C0C"/>
    <w:rsid w:val="001E079C"/>
    <w:rsid w:val="002008BC"/>
    <w:rsid w:val="00203538"/>
    <w:rsid w:val="00236D6F"/>
    <w:rsid w:val="00243FBF"/>
    <w:rsid w:val="002507EC"/>
    <w:rsid w:val="00253B89"/>
    <w:rsid w:val="0026189E"/>
    <w:rsid w:val="002919DD"/>
    <w:rsid w:val="00297D6A"/>
    <w:rsid w:val="002A4DD9"/>
    <w:rsid w:val="002E414B"/>
    <w:rsid w:val="002F0A3A"/>
    <w:rsid w:val="002F2927"/>
    <w:rsid w:val="00321D4C"/>
    <w:rsid w:val="0032343B"/>
    <w:rsid w:val="0037199E"/>
    <w:rsid w:val="00375FA3"/>
    <w:rsid w:val="00377B00"/>
    <w:rsid w:val="00384F7C"/>
    <w:rsid w:val="00392B59"/>
    <w:rsid w:val="003B1386"/>
    <w:rsid w:val="003D5B50"/>
    <w:rsid w:val="003D77B8"/>
    <w:rsid w:val="003E0000"/>
    <w:rsid w:val="00403359"/>
    <w:rsid w:val="00413120"/>
    <w:rsid w:val="00432D62"/>
    <w:rsid w:val="00456D3A"/>
    <w:rsid w:val="00457AF0"/>
    <w:rsid w:val="00461806"/>
    <w:rsid w:val="00473013"/>
    <w:rsid w:val="00494144"/>
    <w:rsid w:val="004974D9"/>
    <w:rsid w:val="004A603C"/>
    <w:rsid w:val="004B2E99"/>
    <w:rsid w:val="004C0BF5"/>
    <w:rsid w:val="004E0BD3"/>
    <w:rsid w:val="004E2CA9"/>
    <w:rsid w:val="005059BD"/>
    <w:rsid w:val="00525DD5"/>
    <w:rsid w:val="00560EAC"/>
    <w:rsid w:val="00570CA5"/>
    <w:rsid w:val="00590A83"/>
    <w:rsid w:val="00592D34"/>
    <w:rsid w:val="00593A61"/>
    <w:rsid w:val="00593B53"/>
    <w:rsid w:val="005941EB"/>
    <w:rsid w:val="005B455C"/>
    <w:rsid w:val="005B6F17"/>
    <w:rsid w:val="005C303C"/>
    <w:rsid w:val="005D11B1"/>
    <w:rsid w:val="005E0349"/>
    <w:rsid w:val="005E7655"/>
    <w:rsid w:val="00610E29"/>
    <w:rsid w:val="0061371F"/>
    <w:rsid w:val="00632932"/>
    <w:rsid w:val="00633E22"/>
    <w:rsid w:val="00673802"/>
    <w:rsid w:val="0067543D"/>
    <w:rsid w:val="006923AA"/>
    <w:rsid w:val="006A2CD8"/>
    <w:rsid w:val="006B24BA"/>
    <w:rsid w:val="006E0D6B"/>
    <w:rsid w:val="006E27C6"/>
    <w:rsid w:val="006F5D0A"/>
    <w:rsid w:val="007113F8"/>
    <w:rsid w:val="00716046"/>
    <w:rsid w:val="00723E89"/>
    <w:rsid w:val="0073257C"/>
    <w:rsid w:val="007807C2"/>
    <w:rsid w:val="00790AFB"/>
    <w:rsid w:val="00792F60"/>
    <w:rsid w:val="00795073"/>
    <w:rsid w:val="007A7265"/>
    <w:rsid w:val="007C4F5E"/>
    <w:rsid w:val="007E5962"/>
    <w:rsid w:val="00801BFF"/>
    <w:rsid w:val="00812D9B"/>
    <w:rsid w:val="008279D5"/>
    <w:rsid w:val="008347B6"/>
    <w:rsid w:val="008513C6"/>
    <w:rsid w:val="00852B75"/>
    <w:rsid w:val="008830E7"/>
    <w:rsid w:val="008A4607"/>
    <w:rsid w:val="008B29C0"/>
    <w:rsid w:val="008C12CD"/>
    <w:rsid w:val="008D57E7"/>
    <w:rsid w:val="008D57F4"/>
    <w:rsid w:val="008F7558"/>
    <w:rsid w:val="00925761"/>
    <w:rsid w:val="009264AE"/>
    <w:rsid w:val="00934C39"/>
    <w:rsid w:val="00946CE0"/>
    <w:rsid w:val="00947A0F"/>
    <w:rsid w:val="009733FA"/>
    <w:rsid w:val="009902E1"/>
    <w:rsid w:val="00992C12"/>
    <w:rsid w:val="009B62F8"/>
    <w:rsid w:val="009C327B"/>
    <w:rsid w:val="009D304D"/>
    <w:rsid w:val="009E2E46"/>
    <w:rsid w:val="009F4206"/>
    <w:rsid w:val="00A01EA9"/>
    <w:rsid w:val="00A07946"/>
    <w:rsid w:val="00A128DE"/>
    <w:rsid w:val="00A2037F"/>
    <w:rsid w:val="00A21673"/>
    <w:rsid w:val="00A23170"/>
    <w:rsid w:val="00A24666"/>
    <w:rsid w:val="00A25398"/>
    <w:rsid w:val="00A37D70"/>
    <w:rsid w:val="00A46ED9"/>
    <w:rsid w:val="00A8795F"/>
    <w:rsid w:val="00AB786A"/>
    <w:rsid w:val="00AE45E3"/>
    <w:rsid w:val="00B45676"/>
    <w:rsid w:val="00B57C7B"/>
    <w:rsid w:val="00B655E5"/>
    <w:rsid w:val="00B76DB4"/>
    <w:rsid w:val="00B855A5"/>
    <w:rsid w:val="00BC5E0B"/>
    <w:rsid w:val="00BD2B82"/>
    <w:rsid w:val="00BF3B82"/>
    <w:rsid w:val="00C07C9B"/>
    <w:rsid w:val="00C218CB"/>
    <w:rsid w:val="00C328CA"/>
    <w:rsid w:val="00C34519"/>
    <w:rsid w:val="00C50E3A"/>
    <w:rsid w:val="00C512C3"/>
    <w:rsid w:val="00C51EFB"/>
    <w:rsid w:val="00D00028"/>
    <w:rsid w:val="00D0115A"/>
    <w:rsid w:val="00D13891"/>
    <w:rsid w:val="00D14BB8"/>
    <w:rsid w:val="00D35F19"/>
    <w:rsid w:val="00D3760B"/>
    <w:rsid w:val="00D53280"/>
    <w:rsid w:val="00D53298"/>
    <w:rsid w:val="00D664CD"/>
    <w:rsid w:val="00D92C03"/>
    <w:rsid w:val="00DA0BC6"/>
    <w:rsid w:val="00DB3D01"/>
    <w:rsid w:val="00DC1450"/>
    <w:rsid w:val="00DE1C3D"/>
    <w:rsid w:val="00DE7CFB"/>
    <w:rsid w:val="00DF1893"/>
    <w:rsid w:val="00E10BAF"/>
    <w:rsid w:val="00E11A28"/>
    <w:rsid w:val="00E13257"/>
    <w:rsid w:val="00E14F96"/>
    <w:rsid w:val="00E278FD"/>
    <w:rsid w:val="00E417EB"/>
    <w:rsid w:val="00E42AFC"/>
    <w:rsid w:val="00E5223F"/>
    <w:rsid w:val="00E55A9B"/>
    <w:rsid w:val="00E840D1"/>
    <w:rsid w:val="00EB74C5"/>
    <w:rsid w:val="00EE2187"/>
    <w:rsid w:val="00EE3820"/>
    <w:rsid w:val="00EF0647"/>
    <w:rsid w:val="00F13830"/>
    <w:rsid w:val="00F26F32"/>
    <w:rsid w:val="00F44843"/>
    <w:rsid w:val="00F45906"/>
    <w:rsid w:val="00F54F0A"/>
    <w:rsid w:val="00F57607"/>
    <w:rsid w:val="00F57F72"/>
    <w:rsid w:val="00F6171A"/>
    <w:rsid w:val="00F66215"/>
    <w:rsid w:val="00FB7849"/>
    <w:rsid w:val="00FF07B3"/>
    <w:rsid w:val="00FF16F1"/>
    <w:rsid w:val="00FF7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9A7B2"/>
  <w15:docId w15:val="{8D428E0F-7A83-4CA1-87EA-8DED02D3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7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349"/>
    <w:pPr>
      <w:ind w:left="720"/>
      <w:contextualSpacing/>
    </w:pPr>
  </w:style>
  <w:style w:type="table" w:styleId="Grilledutableau">
    <w:name w:val="Table Grid"/>
    <w:basedOn w:val="TableauNormal"/>
    <w:uiPriority w:val="59"/>
    <w:rsid w:val="002F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97D6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297D6A"/>
    <w:pPr>
      <w:outlineLvl w:val="9"/>
    </w:pPr>
    <w:rPr>
      <w:lang w:eastAsia="fr-FR"/>
    </w:rPr>
  </w:style>
  <w:style w:type="paragraph" w:styleId="Textedebulles">
    <w:name w:val="Balloon Text"/>
    <w:basedOn w:val="Normal"/>
    <w:link w:val="TextedebullesCar"/>
    <w:uiPriority w:val="99"/>
    <w:semiHidden/>
    <w:unhideWhenUsed/>
    <w:rsid w:val="00297D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D6A"/>
    <w:rPr>
      <w:rFonts w:ascii="Tahoma" w:hAnsi="Tahoma" w:cs="Tahoma"/>
      <w:sz w:val="16"/>
      <w:szCs w:val="16"/>
    </w:rPr>
  </w:style>
  <w:style w:type="character" w:styleId="Accentuation">
    <w:name w:val="Emphasis"/>
    <w:basedOn w:val="Policepardfaut"/>
    <w:uiPriority w:val="20"/>
    <w:qFormat/>
    <w:rsid w:val="008347B6"/>
    <w:rPr>
      <w:i/>
      <w:iCs/>
    </w:rPr>
  </w:style>
  <w:style w:type="paragraph" w:styleId="En-tte">
    <w:name w:val="header"/>
    <w:basedOn w:val="Normal"/>
    <w:link w:val="En-tteCar"/>
    <w:uiPriority w:val="99"/>
    <w:unhideWhenUsed/>
    <w:rsid w:val="00E14F96"/>
    <w:pPr>
      <w:tabs>
        <w:tab w:val="center" w:pos="4536"/>
        <w:tab w:val="right" w:pos="9072"/>
      </w:tabs>
      <w:spacing w:after="0" w:line="240" w:lineRule="auto"/>
    </w:pPr>
  </w:style>
  <w:style w:type="character" w:customStyle="1" w:styleId="En-tteCar">
    <w:name w:val="En-tête Car"/>
    <w:basedOn w:val="Policepardfaut"/>
    <w:link w:val="En-tte"/>
    <w:uiPriority w:val="99"/>
    <w:rsid w:val="00E14F96"/>
  </w:style>
  <w:style w:type="paragraph" w:styleId="Pieddepage">
    <w:name w:val="footer"/>
    <w:basedOn w:val="Normal"/>
    <w:link w:val="PieddepageCar"/>
    <w:uiPriority w:val="99"/>
    <w:unhideWhenUsed/>
    <w:rsid w:val="00E14F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1763">
      <w:bodyDiv w:val="1"/>
      <w:marLeft w:val="0"/>
      <w:marRight w:val="0"/>
      <w:marTop w:val="0"/>
      <w:marBottom w:val="0"/>
      <w:divBdr>
        <w:top w:val="none" w:sz="0" w:space="0" w:color="auto"/>
        <w:left w:val="none" w:sz="0" w:space="0" w:color="auto"/>
        <w:bottom w:val="none" w:sz="0" w:space="0" w:color="auto"/>
        <w:right w:val="none" w:sz="0" w:space="0" w:color="auto"/>
      </w:divBdr>
    </w:div>
    <w:div w:id="8228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D2942ED9-3D56-4F27-89FB-208E9E660566"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CA2022 Dépenses</a:t>
            </a:r>
            <a:r>
              <a:rPr lang="en-US" baseline="0"/>
              <a:t> de fonctionnement</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Feuil2!$E$62</c:f>
              <c:strCache>
                <c:ptCount val="1"/>
                <c:pt idx="0">
                  <c:v>CA2022</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702-477C-A821-CF6C884A1A1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702-477C-A821-CF6C884A1A1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702-477C-A821-CF6C884A1A1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702-477C-A821-CF6C884A1A1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702-477C-A821-CF6C884A1A10}"/>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6702-477C-A821-CF6C884A1A1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6702-477C-A821-CF6C884A1A10}"/>
              </c:ext>
            </c:extLst>
          </c:dPt>
          <c:dLbls>
            <c:dLbl>
              <c:idx val="2"/>
              <c:layout>
                <c:manualLayout>
                  <c:x val="7.4291119860017504E-2"/>
                  <c:y val="0.122069845435987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702-477C-A821-CF6C884A1A10}"/>
                </c:ext>
              </c:extLst>
            </c:dLbl>
            <c:dLbl>
              <c:idx val="3"/>
              <c:layout>
                <c:manualLayout>
                  <c:x val="7.4322834645669286E-2"/>
                  <c:y val="8.38560804899387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702-477C-A821-CF6C884A1A10}"/>
                </c:ext>
              </c:extLst>
            </c:dLbl>
            <c:dLbl>
              <c:idx val="5"/>
              <c:layout>
                <c:manualLayout>
                  <c:x val="1.359426946631671E-2"/>
                  <c:y val="0.127896617089530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702-477C-A821-CF6C884A1A10}"/>
                </c:ext>
              </c:extLst>
            </c:dLbl>
            <c:dLbl>
              <c:idx val="6"/>
              <c:layout>
                <c:manualLayout>
                  <c:x val="-2.7559055118110236E-5"/>
                  <c:y val="0.265048848060658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702-477C-A821-CF6C884A1A1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Feuil2!$D$63:$D$69</c:f>
              <c:strCache>
                <c:ptCount val="7"/>
                <c:pt idx="0">
                  <c:v>Charges a caractère générales (011)</c:v>
                </c:pt>
                <c:pt idx="1">
                  <c:v>Personnel (012)</c:v>
                </c:pt>
                <c:pt idx="2">
                  <c:v>Autres charges de gestion courantes (65)</c:v>
                </c:pt>
                <c:pt idx="3">
                  <c:v>Charges financières (66) et dotations provision (68)</c:v>
                </c:pt>
                <c:pt idx="4">
                  <c:v>Charges exceptionnelles (67)</c:v>
                </c:pt>
                <c:pt idx="5">
                  <c:v>Opérations d'ordre et de transfert entre section (042)</c:v>
                </c:pt>
                <c:pt idx="6">
                  <c:v>Atténuation de pdt (014)</c:v>
                </c:pt>
              </c:strCache>
            </c:strRef>
          </c:cat>
          <c:val>
            <c:numRef>
              <c:f>Feuil2!$E$63:$E$69</c:f>
              <c:numCache>
                <c:formatCode>#\ ##0.00\ "€"</c:formatCode>
                <c:ptCount val="7"/>
                <c:pt idx="0">
                  <c:v>892840.51</c:v>
                </c:pt>
                <c:pt idx="1">
                  <c:v>1155997.94</c:v>
                </c:pt>
                <c:pt idx="2">
                  <c:v>214080.62</c:v>
                </c:pt>
                <c:pt idx="3">
                  <c:v>33139.299999999996</c:v>
                </c:pt>
                <c:pt idx="4">
                  <c:v>277.27</c:v>
                </c:pt>
                <c:pt idx="5">
                  <c:v>61714.94</c:v>
                </c:pt>
                <c:pt idx="6">
                  <c:v>39432</c:v>
                </c:pt>
              </c:numCache>
            </c:numRef>
          </c:val>
          <c:extLst>
            <c:ext xmlns:c16="http://schemas.microsoft.com/office/drawing/2014/chart" uri="{C3380CC4-5D6E-409C-BE32-E72D297353CC}">
              <c16:uniqueId val="{0000000E-6702-477C-A821-CF6C884A1A1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CA 2022 recettes de fonctionnement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Feuil2!$B$62</c:f>
              <c:strCache>
                <c:ptCount val="1"/>
                <c:pt idx="0">
                  <c:v>CA 2022 Fct recette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A4-4CAF-A213-AE5133AD688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A4-4CAF-A213-AE5133AD688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3A4-4CAF-A213-AE5133AD688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3A4-4CAF-A213-AE5133AD688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3A4-4CAF-A213-AE5133AD688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3A4-4CAF-A213-AE5133AD688F}"/>
              </c:ext>
            </c:extLst>
          </c:dPt>
          <c:dLbls>
            <c:dLbl>
              <c:idx val="0"/>
              <c:layout>
                <c:manualLayout>
                  <c:x val="-2.1929571303587053E-2"/>
                  <c:y val="0.1417855059784193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A4-4CAF-A213-AE5133AD688F}"/>
                </c:ext>
              </c:extLst>
            </c:dLbl>
            <c:dLbl>
              <c:idx val="4"/>
              <c:layout>
                <c:manualLayout>
                  <c:x val="5.6247812773403301E-2"/>
                  <c:y val="9.87438028579760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3A4-4CAF-A213-AE5133AD688F}"/>
                </c:ext>
              </c:extLst>
            </c:dLbl>
            <c:dLbl>
              <c:idx val="5"/>
              <c:layout>
                <c:manualLayout>
                  <c:x val="3.3038713910761103E-2"/>
                  <c:y val="0.1001188393117526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3A4-4CAF-A213-AE5133AD688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Feuil2!$A$63:$A$68</c:f>
              <c:strCache>
                <c:ptCount val="6"/>
                <c:pt idx="0">
                  <c:v>Produit des services (70)</c:v>
                </c:pt>
                <c:pt idx="1">
                  <c:v>Impots et taxes (73)</c:v>
                </c:pt>
                <c:pt idx="2">
                  <c:v>Dotations subventions (74)</c:v>
                </c:pt>
                <c:pt idx="3">
                  <c:v>Autres produits de gestion courante (75)</c:v>
                </c:pt>
                <c:pt idx="4">
                  <c:v>Attenuation de charges (013)</c:v>
                </c:pt>
                <c:pt idx="5">
                  <c:v>Produits exceptionnels (77)</c:v>
                </c:pt>
              </c:strCache>
            </c:strRef>
          </c:cat>
          <c:val>
            <c:numRef>
              <c:f>Feuil2!$B$63:$B$68</c:f>
              <c:numCache>
                <c:formatCode>#\ ##0.00\ "€"</c:formatCode>
                <c:ptCount val="6"/>
                <c:pt idx="0">
                  <c:v>154070.60999999999</c:v>
                </c:pt>
                <c:pt idx="1">
                  <c:v>1850438.21</c:v>
                </c:pt>
                <c:pt idx="2">
                  <c:v>418196.28</c:v>
                </c:pt>
                <c:pt idx="3">
                  <c:v>21927.39</c:v>
                </c:pt>
                <c:pt idx="4">
                  <c:v>61761.25</c:v>
                </c:pt>
                <c:pt idx="5">
                  <c:v>156699.09</c:v>
                </c:pt>
              </c:numCache>
            </c:numRef>
          </c:val>
          <c:extLst>
            <c:ext xmlns:c16="http://schemas.microsoft.com/office/drawing/2014/chart" uri="{C3380CC4-5D6E-409C-BE32-E72D297353CC}">
              <c16:uniqueId val="{0000000C-C3A4-4CAF-A213-AE5133AD688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Feuil2!$B$72</c:f>
              <c:strCache>
                <c:ptCount val="1"/>
                <c:pt idx="0">
                  <c:v>CA 2022 Investissement recettes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90E-4680-BCA0-3F9CF152D98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90E-4680-BCA0-3F9CF152D98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90E-4680-BCA0-3F9CF152D98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90E-4680-BCA0-3F9CF152D98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90E-4680-BCA0-3F9CF152D98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Feuil2!$A$73:$A$77</c:f>
              <c:strCache>
                <c:ptCount val="5"/>
                <c:pt idx="0">
                  <c:v>Dotations et fonds divers (TA, FCTVV, transfert de Budget assainissement…)</c:v>
                </c:pt>
                <c:pt idx="1">
                  <c:v>Excedent de fonctionnement</c:v>
                </c:pt>
                <c:pt idx="2">
                  <c:v>Subventions  (FDAEC, voie verte)</c:v>
                </c:pt>
                <c:pt idx="3">
                  <c:v>opérations d'ordres </c:v>
                </c:pt>
                <c:pt idx="4">
                  <c:v>Dette SDIS</c:v>
                </c:pt>
              </c:strCache>
            </c:strRef>
          </c:cat>
          <c:val>
            <c:numRef>
              <c:f>Feuil2!$B$73:$B$77</c:f>
              <c:numCache>
                <c:formatCode>#\ ##0.00\ "€"</c:formatCode>
                <c:ptCount val="5"/>
                <c:pt idx="0">
                  <c:v>225042.17</c:v>
                </c:pt>
                <c:pt idx="1">
                  <c:v>125463.93</c:v>
                </c:pt>
                <c:pt idx="2">
                  <c:v>34649.5</c:v>
                </c:pt>
                <c:pt idx="3">
                  <c:v>61714.94</c:v>
                </c:pt>
                <c:pt idx="4">
                  <c:v>157628</c:v>
                </c:pt>
              </c:numCache>
            </c:numRef>
          </c:val>
          <c:extLst>
            <c:ext xmlns:c16="http://schemas.microsoft.com/office/drawing/2014/chart" uri="{C3380CC4-5D6E-409C-BE32-E72D297353CC}">
              <c16:uniqueId val="{0000000A-590E-4680-BCA0-3F9CF152D98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39B5-AB87-4E63-8C72-D5126304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Pages>
  <Words>1888</Words>
  <Characters>10384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DGS</cp:lastModifiedBy>
  <cp:revision>9</cp:revision>
  <cp:lastPrinted>2023-03-13T11:14:00Z</cp:lastPrinted>
  <dcterms:created xsi:type="dcterms:W3CDTF">2023-03-03T13:03:00Z</dcterms:created>
  <dcterms:modified xsi:type="dcterms:W3CDTF">2023-03-13T14:58:00Z</dcterms:modified>
</cp:coreProperties>
</file>